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Dealership IT Vendor Inventory Worksheet</w:t>
      </w:r>
    </w:p>
    <w:p>
      <w:pPr>
        <w:pStyle w:val="Subtitle"/>
      </w:pPr>
      <w:r>
        <w:t xml:space="preserve">Every vendor, contract, renewal date, cost, contact, data access and failure owner on one sheet</w:t>
      </w:r>
    </w:p>
    <w:p>
      <w:pPr>
        <w:pStyle w:val="Author"/>
      </w:pPr>
      <w:r>
        <w:t xml:space="preserve">Helion Technologies</w:t>
      </w:r>
    </w:p>
    <w:p>
      <w:pPr>
        <w:pStyle w:val="FirstParagraph"/>
      </w:pPr>
      <w:r>
        <w:rPr>
          <w:b/>
          <w:bCs/>
        </w:rPr>
        <w:t xml:space="preserve">How to use it.</w:t>
      </w:r>
      <w:r>
        <w:t xml:space="preserve"> </w:t>
      </w:r>
      <w:r>
        <w:t xml:space="preserve">Pull twelve months of technology bills from accounts payable, credit cards included. Give each vendor one row and fill in sections 1 to 4 from the invoices and contracts. Walk sections 5 and 6 with each department manager. Licenses go on their own register. Put every renewal and notice date from 2.2 and 2.3 on a calendar.</w:t>
      </w:r>
      <w:r>
        <w:t xml:space="preserve"> </w:t>
      </w:r>
      <w:r>
        <w:rPr>
          <w:b/>
          <w:bCs/>
        </w:rPr>
        <w:t xml:space="preserve">Take the cost column from the invoices, not from the contracts.</w:t>
      </w:r>
    </w:p>
    <w:bookmarkStart w:id="16" w:name="the-column-guide"/>
    <w:p>
      <w:pPr>
        <w:pStyle w:val="Heading1"/>
      </w:pPr>
      <w:r>
        <w:t xml:space="preserve">The column guide</w:t>
      </w:r>
    </w:p>
    <w:bookmarkStart w:id="9" w:name="the-vendor"/>
    <w:p>
      <w:pPr>
        <w:pStyle w:val="Heading2"/>
      </w:pPr>
      <w:r>
        <w:t xml:space="preserve">1. The vendor</w:t>
      </w:r>
    </w:p>
    <w:p>
      <w:pPr>
        <w:pStyle w:val="FirstParagraph"/>
      </w:pPr>
      <w:r>
        <w:rPr>
          <w:b/>
          <w:bCs/>
        </w:rPr>
        <w:t xml:space="preserve">1.1</w:t>
      </w:r>
      <w:r>
        <w:t xml:space="preserve"> </w:t>
      </w:r>
      <w:r>
        <w:t xml:space="preserve">Vendor name, exactly as it appears on the invoice.</w:t>
      </w:r>
    </w:p>
    <w:p>
      <w:pPr>
        <w:pStyle w:val="BodyText"/>
      </w:pPr>
      <w:r>
        <w:rPr>
          <w:b/>
          <w:bCs/>
        </w:rPr>
        <w:t xml:space="preserve">1.2</w:t>
      </w:r>
      <w:r>
        <w:t xml:space="preserve"> </w:t>
      </w:r>
      <w:r>
        <w:t xml:space="preserve">What it covers, in plain words, such as the internet circuit, phones, copiers or security cameras.</w:t>
      </w:r>
    </w:p>
    <w:p>
      <w:pPr>
        <w:pStyle w:val="BodyText"/>
      </w:pPr>
      <w:r>
        <w:rPr>
          <w:b/>
          <w:bCs/>
        </w:rPr>
        <w:t xml:space="preserve">1.3</w:t>
      </w:r>
      <w:r>
        <w:t xml:space="preserve"> </w:t>
      </w:r>
      <w:r>
        <w:t xml:space="preserve">Which rooftops it serves, and whether each store has its own account.</w:t>
      </w:r>
    </w:p>
    <w:p>
      <w:pPr>
        <w:pStyle w:val="BodyText"/>
      </w:pPr>
      <w:r>
        <w:rPr>
          <w:b/>
          <w:bCs/>
        </w:rPr>
        <w:t xml:space="preserve">1.4</w:t>
      </w:r>
      <w:r>
        <w:t xml:space="preserve"> </w:t>
      </w:r>
      <w:r>
        <w:t xml:space="preserve">Your account or customer number, so whoever calls gets identified on the first try.</w:t>
      </w:r>
    </w:p>
    <w:bookmarkEnd w:id="9"/>
    <w:bookmarkStart w:id="10" w:name="contract-and-renewal"/>
    <w:p>
      <w:pPr>
        <w:pStyle w:val="Heading2"/>
      </w:pPr>
      <w:r>
        <w:t xml:space="preserve">2. Contract and renewal</w:t>
      </w:r>
    </w:p>
    <w:p>
      <w:pPr>
        <w:pStyle w:val="FirstParagraph"/>
      </w:pPr>
      <w:r>
        <w:rPr>
          <w:b/>
          <w:bCs/>
        </w:rPr>
        <w:t xml:space="preserve">2.1</w:t>
      </w:r>
      <w:r>
        <w:t xml:space="preserve"> </w:t>
      </w:r>
      <w:r>
        <w:t xml:space="preserve">Contract start date and term length.</w:t>
      </w:r>
    </w:p>
    <w:p>
      <w:pPr>
        <w:pStyle w:val="BodyText"/>
      </w:pPr>
      <w:r>
        <w:rPr>
          <w:b/>
          <w:bCs/>
        </w:rPr>
        <w:t xml:space="preserve">2.2</w:t>
      </w:r>
      <w:r>
        <w:t xml:space="preserve"> </w:t>
      </w:r>
      <w:r>
        <w:t xml:space="preserve">Contract end date or the next renewal date.</w:t>
      </w:r>
    </w:p>
    <w:p>
      <w:pPr>
        <w:pStyle w:val="BodyText"/>
      </w:pPr>
      <w:r>
        <w:rPr>
          <w:b/>
          <w:bCs/>
        </w:rPr>
        <w:t xml:space="preserve">2.3</w:t>
      </w:r>
      <w:r>
        <w:t xml:space="preserve"> </w:t>
      </w:r>
      <w:r>
        <w:t xml:space="preserve">Does it renew on its own? If it does, how many days’ notice it takes to cancel or change it.</w:t>
      </w:r>
    </w:p>
    <w:p>
      <w:pPr>
        <w:pStyle w:val="BodyText"/>
      </w:pPr>
      <w:r>
        <w:rPr>
          <w:b/>
          <w:bCs/>
        </w:rPr>
        <w:t xml:space="preserve">2.4</w:t>
      </w:r>
      <w:r>
        <w:t xml:space="preserve"> </w:t>
      </w:r>
      <w:r>
        <w:t xml:space="preserve">Who signed it, and where the signed copy is kept.</w:t>
      </w:r>
    </w:p>
    <w:bookmarkEnd w:id="10"/>
    <w:bookmarkStart w:id="11" w:name="cost"/>
    <w:p>
      <w:pPr>
        <w:pStyle w:val="Heading2"/>
      </w:pPr>
      <w:r>
        <w:t xml:space="preserve">3. Cost</w:t>
      </w:r>
    </w:p>
    <w:p>
      <w:pPr>
        <w:pStyle w:val="FirstParagraph"/>
      </w:pPr>
      <w:r>
        <w:rPr>
          <w:b/>
          <w:bCs/>
        </w:rPr>
        <w:t xml:space="preserve">3.1</w:t>
      </w:r>
      <w:r>
        <w:t xml:space="preserve"> </w:t>
      </w:r>
      <w:r>
        <w:t xml:space="preserve">Monthly cost, taken from the last three invoices rather than the original quote.</w:t>
      </w:r>
    </w:p>
    <w:p>
      <w:pPr>
        <w:pStyle w:val="BodyText"/>
      </w:pPr>
      <w:r>
        <w:rPr>
          <w:b/>
          <w:bCs/>
        </w:rPr>
        <w:t xml:space="preserve">3.2</w:t>
      </w:r>
      <w:r>
        <w:t xml:space="preserve"> </w:t>
      </w:r>
      <w:r>
        <w:t xml:space="preserve">Which store or GL account pays it.</w:t>
      </w:r>
    </w:p>
    <w:p>
      <w:pPr>
        <w:pStyle w:val="BodyText"/>
      </w:pPr>
      <w:r>
        <w:rPr>
          <w:b/>
          <w:bCs/>
        </w:rPr>
        <w:t xml:space="preserve">3.3</w:t>
      </w:r>
      <w:r>
        <w:t xml:space="preserve"> </w:t>
      </w:r>
      <w:r>
        <w:t xml:space="preserve">Price increase terms, per-seat charges and any overage fees.</w:t>
      </w:r>
    </w:p>
    <w:bookmarkEnd w:id="11"/>
    <w:bookmarkStart w:id="12" w:name="who-calls-them"/>
    <w:p>
      <w:pPr>
        <w:pStyle w:val="Heading2"/>
      </w:pPr>
      <w:r>
        <w:t xml:space="preserve">4. Who calls them</w:t>
      </w:r>
    </w:p>
    <w:p>
      <w:pPr>
        <w:pStyle w:val="FirstParagraph"/>
      </w:pPr>
      <w:r>
        <w:rPr>
          <w:b/>
          <w:bCs/>
        </w:rPr>
        <w:t xml:space="preserve">4.1</w:t>
      </w:r>
      <w:r>
        <w:t xml:space="preserve"> </w:t>
      </w:r>
      <w:r>
        <w:t xml:space="preserve">The person at the store who calls this vendor today.</w:t>
      </w:r>
    </w:p>
    <w:p>
      <w:pPr>
        <w:pStyle w:val="BodyText"/>
      </w:pPr>
      <w:r>
        <w:rPr>
          <w:b/>
          <w:bCs/>
        </w:rPr>
        <w:t xml:space="preserve">4.2</w:t>
      </w:r>
      <w:r>
        <w:t xml:space="preserve"> </w:t>
      </w:r>
      <w:r>
        <w:t xml:space="preserve">The vendor’s support line or portal, and its support hours.</w:t>
      </w:r>
    </w:p>
    <w:p>
      <w:pPr>
        <w:pStyle w:val="BodyText"/>
      </w:pPr>
      <w:r>
        <w:rPr>
          <w:b/>
          <w:bCs/>
        </w:rPr>
        <w:t xml:space="preserve">4.3</w:t>
      </w:r>
      <w:r>
        <w:t xml:space="preserve"> </w:t>
      </w:r>
      <w:r>
        <w:t xml:space="preserve">Your account manager or escalation contact at the vendor.</w:t>
      </w:r>
    </w:p>
    <w:bookmarkEnd w:id="12"/>
    <w:bookmarkStart w:id="13" w:name="data-and-access"/>
    <w:p>
      <w:pPr>
        <w:pStyle w:val="Heading2"/>
      </w:pPr>
      <w:r>
        <w:t xml:space="preserve">5. Data and access</w:t>
      </w:r>
    </w:p>
    <w:p>
      <w:pPr>
        <w:pStyle w:val="FirstParagraph"/>
      </w:pPr>
      <w:r>
        <w:rPr>
          <w:b/>
          <w:bCs/>
        </w:rPr>
        <w:t xml:space="preserve">5.1</w:t>
      </w:r>
      <w:r>
        <w:t xml:space="preserve"> </w:t>
      </w:r>
      <w:r>
        <w:t xml:space="preserve">Which systems or customer data it can reach, such as the DMS, Microsoft 365, the network or credit applications.</w:t>
      </w:r>
    </w:p>
    <w:p>
      <w:pPr>
        <w:pStyle w:val="BodyText"/>
      </w:pPr>
      <w:r>
        <w:rPr>
          <w:b/>
          <w:bCs/>
        </w:rPr>
        <w:t xml:space="preserve">5.2</w:t>
      </w:r>
      <w:r>
        <w:t xml:space="preserve"> </w:t>
      </w:r>
      <w:r>
        <w:t xml:space="preserve">How it gets in: remote access, an integration, an admin account, or not at all.</w:t>
      </w:r>
    </w:p>
    <w:p>
      <w:pPr>
        <w:pStyle w:val="BodyText"/>
      </w:pPr>
      <w:r>
        <w:rPr>
          <w:b/>
          <w:bCs/>
        </w:rPr>
        <w:t xml:space="preserve">5.3</w:t>
      </w:r>
      <w:r>
        <w:t xml:space="preserve"> </w:t>
      </w:r>
      <w:r>
        <w:t xml:space="preserve">Who at the dealership approved that access, and when.</w:t>
      </w:r>
    </w:p>
    <w:p>
      <w:pPr>
        <w:pStyle w:val="BodyText"/>
      </w:pPr>
      <w:r>
        <w:rPr>
          <w:b/>
          <w:bCs/>
        </w:rPr>
        <w:t xml:space="preserve">5.4</w:t>
      </w:r>
      <w:r>
        <w:t xml:space="preserve"> </w:t>
      </w:r>
      <w:r>
        <w:t xml:space="preserve">The date someone last checked that the access is still needed.</w:t>
      </w:r>
    </w:p>
    <w:bookmarkEnd w:id="13"/>
    <w:bookmarkStart w:id="14" w:name="when-it-fails"/>
    <w:p>
      <w:pPr>
        <w:pStyle w:val="Heading2"/>
      </w:pPr>
      <w:r>
        <w:t xml:space="preserve">6. When it fails</w:t>
      </w:r>
    </w:p>
    <w:p>
      <w:pPr>
        <w:pStyle w:val="FirstParagraph"/>
      </w:pPr>
      <w:r>
        <w:rPr>
          <w:b/>
          <w:bCs/>
        </w:rPr>
        <w:t xml:space="preserve">6.1</w:t>
      </w:r>
      <w:r>
        <w:t xml:space="preserve"> </w:t>
      </w:r>
      <w:r>
        <w:t xml:space="preserve">What stops working at the store when this vendor’s system goes down.</w:t>
      </w:r>
    </w:p>
    <w:p>
      <w:pPr>
        <w:pStyle w:val="BodyText"/>
      </w:pPr>
      <w:r>
        <w:rPr>
          <w:b/>
          <w:bCs/>
        </w:rPr>
        <w:t xml:space="preserve">6.2</w:t>
      </w:r>
      <w:r>
        <w:t xml:space="preserve"> </w:t>
      </w:r>
      <w:r>
        <w:t xml:space="preserve">Which other vendor’s system it meets, and who owns the fix where the two connect.</w:t>
      </w:r>
    </w:p>
    <w:p>
      <w:pPr>
        <w:pStyle w:val="BodyText"/>
      </w:pPr>
      <w:r>
        <w:rPr>
          <w:b/>
          <w:bCs/>
        </w:rPr>
        <w:t xml:space="preserve">6.3</w:t>
      </w:r>
      <w:r>
        <w:t xml:space="preserve"> </w:t>
      </w:r>
      <w:r>
        <w:t xml:space="preserve">The workaround until it’s back, and who decides to use it.</w:t>
      </w:r>
    </w:p>
    <w:bookmarkEnd w:id="14"/>
    <w:bookmarkStart w:id="15" w:name="license-register"/>
    <w:p>
      <w:pPr>
        <w:pStyle w:val="Heading2"/>
      </w:pPr>
      <w:r>
        <w:t xml:space="preserve">7. License register</w:t>
      </w:r>
    </w:p>
    <w:p>
      <w:pPr>
        <w:pStyle w:val="FirstParagraph"/>
      </w:pPr>
      <w:r>
        <w:rPr>
          <w:i/>
          <w:iCs/>
        </w:rPr>
        <w:t xml:space="preserve">One row per product. Seats paid for next to seats in use shows licenses still billed for people who have left. Hardware goes on your asset inventory, not here.</w:t>
      </w:r>
    </w:p>
    <w:bookmarkEnd w:id="15"/>
    <w:bookmarkEnd w:id="16"/>
    <w:bookmarkStart w:id="23" w:name="the-vendor-register"/>
    <w:p>
      <w:pPr>
        <w:pStyle w:val="Heading1"/>
      </w:pPr>
      <w:r>
        <w:t xml:space="preserve">The vendor register</w:t>
      </w:r>
    </w:p>
    <w:p>
      <w:pPr>
        <w:pStyle w:val="FirstParagraph"/>
      </w:pPr>
      <w:r>
        <w:rPr>
          <w:i/>
          <w:iCs/>
        </w:rPr>
        <w:t xml:space="preserve">One row per vendor. Repeat the vendor name in each table so the rows line up.</w:t>
      </w:r>
    </w:p>
    <w:bookmarkStart w:id="17" w:name="section-1-the-vendor"/>
    <w:p>
      <w:pPr>
        <w:pStyle w:val="Heading2"/>
      </w:pPr>
      <w:r>
        <w:t xml:space="preserve">Section 1: The vendor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1.2 What it covers</w:t>
            </w:r>
          </w:p>
        </w:tc>
        <w:tc>
          <w:tcPr/>
          <w:p>
            <w:pPr>
              <w:pStyle w:val="Compact"/>
            </w:pPr>
            <w:r>
              <w:t xml:space="preserve">1.3 Rooftops</w:t>
            </w:r>
          </w:p>
        </w:tc>
        <w:tc>
          <w:tcPr/>
          <w:p>
            <w:pPr>
              <w:pStyle w:val="Compact"/>
            </w:pPr>
            <w:r>
              <w:t xml:space="preserve">1.4 Account no.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7"/>
    <w:bookmarkStart w:id="18" w:name="section-2-contract-and-renewal"/>
    <w:p>
      <w:pPr>
        <w:pStyle w:val="Heading2"/>
      </w:pPr>
      <w:r>
        <w:t xml:space="preserve">Section 2: Contract and renewal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2.1 Start and term</w:t>
            </w:r>
          </w:p>
        </w:tc>
        <w:tc>
          <w:tcPr/>
          <w:p>
            <w:pPr>
              <w:pStyle w:val="Compact"/>
            </w:pPr>
            <w:r>
              <w:t xml:space="preserve">2.2 End or renewal</w:t>
            </w:r>
          </w:p>
        </w:tc>
        <w:tc>
          <w:tcPr/>
          <w:p>
            <w:pPr>
              <w:pStyle w:val="Compact"/>
            </w:pPr>
            <w:r>
              <w:t xml:space="preserve">2.3 Auto-renew and notice</w:t>
            </w:r>
          </w:p>
        </w:tc>
        <w:tc>
          <w:tcPr/>
          <w:p>
            <w:pPr>
              <w:pStyle w:val="Compact"/>
            </w:pPr>
            <w:r>
              <w:t xml:space="preserve">2.4 Signed by, copy kept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8"/>
    <w:bookmarkStart w:id="19" w:name="section-3-cost"/>
    <w:p>
      <w:pPr>
        <w:pStyle w:val="Heading2"/>
      </w:pPr>
      <w:r>
        <w:t xml:space="preserve">Section 3: Cost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3.1 Monthly cost</w:t>
            </w:r>
          </w:p>
        </w:tc>
        <w:tc>
          <w:tcPr/>
          <w:p>
            <w:pPr>
              <w:pStyle w:val="Compact"/>
            </w:pPr>
            <w:r>
              <w:t xml:space="preserve">3.2 Store or GL</w:t>
            </w:r>
          </w:p>
        </w:tc>
        <w:tc>
          <w:tcPr/>
          <w:p>
            <w:pPr>
              <w:pStyle w:val="Compact"/>
            </w:pPr>
            <w:r>
              <w:t xml:space="preserve">3.3 Increases and fees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9"/>
    <w:bookmarkStart w:id="20" w:name="section-4-who-calls-them"/>
    <w:p>
      <w:pPr>
        <w:pStyle w:val="Heading2"/>
      </w:pPr>
      <w:r>
        <w:t xml:space="preserve">Section 4: Who calls them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4.1 Store contact</w:t>
            </w:r>
          </w:p>
        </w:tc>
        <w:tc>
          <w:tcPr/>
          <w:p>
            <w:pPr>
              <w:pStyle w:val="Compact"/>
            </w:pPr>
            <w:r>
              <w:t xml:space="preserve">4.2 Support line and hours</w:t>
            </w:r>
          </w:p>
        </w:tc>
        <w:tc>
          <w:tcPr/>
          <w:p>
            <w:pPr>
              <w:pStyle w:val="Compact"/>
            </w:pPr>
            <w:r>
              <w:t xml:space="preserve">4.3 Account manager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section-5-data-and-access"/>
    <w:p>
      <w:pPr>
        <w:pStyle w:val="Heading2"/>
      </w:pPr>
      <w:r>
        <w:t xml:space="preserve">Section 5: Data and access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5.1 Systems and data</w:t>
            </w:r>
          </w:p>
        </w:tc>
        <w:tc>
          <w:tcPr/>
          <w:p>
            <w:pPr>
              <w:pStyle w:val="Compact"/>
            </w:pPr>
            <w:r>
              <w:t xml:space="preserve">5.2 How it gets in</w:t>
            </w:r>
          </w:p>
        </w:tc>
        <w:tc>
          <w:tcPr/>
          <w:p>
            <w:pPr>
              <w:pStyle w:val="Compact"/>
            </w:pPr>
            <w:r>
              <w:t xml:space="preserve">5.3 Approved by, when</w:t>
            </w:r>
          </w:p>
        </w:tc>
        <w:tc>
          <w:tcPr/>
          <w:p>
            <w:pPr>
              <w:pStyle w:val="Compact"/>
            </w:pPr>
            <w:r>
              <w:t xml:space="preserve">5.4 Last checked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1"/>
    <w:bookmarkStart w:id="22" w:name="section-6-when-it-fails"/>
    <w:p>
      <w:pPr>
        <w:pStyle w:val="Heading2"/>
      </w:pPr>
      <w:r>
        <w:t xml:space="preserve">Section 6: When it fails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1.1 Vendor</w:t>
            </w:r>
          </w:p>
        </w:tc>
        <w:tc>
          <w:tcPr/>
          <w:p>
            <w:pPr>
              <w:pStyle w:val="Compact"/>
            </w:pPr>
            <w:r>
              <w:t xml:space="preserve">6.1 What stops</w:t>
            </w:r>
          </w:p>
        </w:tc>
        <w:tc>
          <w:tcPr/>
          <w:p>
            <w:pPr>
              <w:pStyle w:val="Compact"/>
            </w:pPr>
            <w:r>
              <w:t xml:space="preserve">6.2 Meets which vendor, fix owner</w:t>
            </w:r>
          </w:p>
        </w:tc>
        <w:tc>
          <w:tcPr/>
          <w:p>
            <w:pPr>
              <w:pStyle w:val="Compact"/>
            </w:pPr>
            <w:r>
              <w:t xml:space="preserve">6.3 Workaround, who decides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2"/>
    <w:bookmarkEnd w:id="23"/>
    <w:bookmarkStart w:id="24" w:name="license-register-1"/>
    <w:p>
      <w:pPr>
        <w:pStyle w:val="Heading1"/>
      </w:pPr>
      <w:r>
        <w:t xml:space="preserve">7. License 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 or license</w:t>
            </w:r>
          </w:p>
        </w:tc>
        <w:tc>
          <w:tcPr/>
          <w:p>
            <w:pPr>
              <w:pStyle w:val="Compact"/>
            </w:pPr>
            <w:r>
              <w:t xml:space="preserve">Seats paid for</w:t>
            </w:r>
          </w:p>
        </w:tc>
        <w:tc>
          <w:tcPr/>
          <w:p>
            <w:pPr>
              <w:pStyle w:val="Compact"/>
            </w:pPr>
            <w:r>
              <w:t xml:space="preserve">Seats in use</w:t>
            </w:r>
          </w:p>
        </w:tc>
        <w:tc>
          <w:tcPr/>
          <w:p>
            <w:pPr>
              <w:pStyle w:val="Compact"/>
            </w:pPr>
            <w:r>
              <w:t xml:space="preserve">Assigned to</w:t>
            </w:r>
          </w:p>
        </w:tc>
        <w:tc>
          <w:tcPr/>
          <w:p>
            <w:pPr>
              <w:pStyle w:val="Compact"/>
            </w:pPr>
            <w:r>
              <w:t xml:space="preserve">Renewal date</w:t>
            </w:r>
          </w:p>
        </w:tc>
        <w:tc>
          <w:tcPr/>
          <w:p>
            <w:pPr>
              <w:pStyle w:val="Compact"/>
            </w:pPr>
            <w:r>
              <w:t xml:space="preserve">Expiry 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where-two-vendors-systems-meet-6.2"/>
    <w:p>
      <w:pPr>
        <w:pStyle w:val="Heading1"/>
      </w:pPr>
      <w:r>
        <w:t xml:space="preserve">Where two vendors’ systems meet (6.2)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Where systems meet</w:t>
            </w:r>
          </w:p>
        </w:tc>
        <w:tc>
          <w:tcPr/>
          <w:p>
            <w:pPr>
              <w:pStyle w:val="Compact"/>
            </w:pPr>
            <w:r>
              <w:t xml:space="preserve">Owner we’d suggest</w:t>
            </w:r>
          </w:p>
        </w:tc>
        <w:tc>
          <w:tcPr/>
          <w:p>
            <w:pPr>
              <w:pStyle w:val="Compact"/>
            </w:pPr>
            <w:r>
              <w:t xml:space="preserve">Owner at your store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Phones and the internet circuit</w:t>
            </w:r>
          </w:p>
        </w:tc>
        <w:tc>
          <w:tcPr/>
          <w:p>
            <w:pPr>
              <w:pStyle w:val="Compact"/>
            </w:pPr>
            <w:r>
              <w:t xml:space="preserve">Whoever manages the store network, since call quality depends on the network between the two.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Shop Wi-Fi and OEM tools</w:t>
            </w:r>
          </w:p>
        </w:tc>
        <w:tc>
          <w:tcPr/>
          <w:p>
            <w:pPr>
              <w:pStyle w:val="Compact"/>
            </w:pPr>
            <w:r>
              <w:t xml:space="preserve">The network owner, with the OEM tool’s support line on the call when it’s needed.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Copiers and the network</w:t>
            </w:r>
          </w:p>
        </w:tc>
        <w:tc>
          <w:tcPr/>
          <w:p>
            <w:pPr>
              <w:pStyle w:val="Compact"/>
            </w:pPr>
            <w:r>
              <w:t xml:space="preserve">The copier vendor for the device itself, and the network owner for everything up to it.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Email and the website</w:t>
            </w:r>
          </w:p>
        </w:tc>
        <w:tc>
          <w:tcPr/>
          <w:p>
            <w:pPr>
              <w:pStyle w:val="Compact"/>
            </w:pPr>
            <w:r>
              <w:t xml:space="preserve">Whoever controls your domain’s DNS records. Most dealers have to look up who that is.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Cameras, doors and the firewall</w:t>
            </w:r>
          </w:p>
        </w:tc>
        <w:tc>
          <w:tcPr/>
          <w:p>
            <w:pPr>
              <w:pStyle w:val="Compact"/>
            </w:pPr>
            <w:r>
              <w:t xml:space="preserve">The network owner, with the camera vendor’s settings kept on file.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DMS at one store</w:t>
            </w:r>
          </w:p>
        </w:tc>
        <w:tc>
          <w:tcPr/>
          <w:p>
            <w:pPr>
              <w:pStyle w:val="Compact"/>
            </w:pPr>
            <w:r>
              <w:t xml:space="preserve">The store network owner first, since a one-store problem usually lives on that store’s side.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Bring the finished worksheet to a complimentary assessment.</w:t>
      </w:r>
      <w:r>
        <w:t xml:space="preserve"> </w:t>
      </w:r>
      <w:r>
        <w:t xml:space="preserve">We’ll compare what your stores pay their vendors today with one accountable team. https://heliontechnologies.com/it-assessment/</w:t>
      </w:r>
    </w:p>
    <w:p>
      <w:pPr>
        <w:pStyle w:val="BodyText"/>
      </w:pPr>
      <w:r>
        <w:t xml:space="preserve">Section 5 follows the service provider oversight duty in the FTC Safeguards Rule, 16 CFR 314.4(f). This worksheet is a planning aid, not legal advice. © 2026 Helion Technologies. https://heliontechnologies.com/dealership-it-vendor-inventory-worksheet/</w:t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sz w:val="24"/>
        <w:szCs w:val="24"/>
        <w:lang w:bidi="ar-SA" w:eastAsia="Arial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/>
      <w:color w:themeColor="text1" w:themeTint="A6" w:val="1F1E1C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/>
      <w:color w:themeColor="accent1" w:themeShade="BF" w:val="1F1E1C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/>
      <w:color w:themeColor="accent1" w:themeShade="BF" w:val="E8740C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/>
      <w:color w:themeColor="accent1" w:themeShade="BF" w:val="1F1E1C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/>
      <w:i/>
      <w:iCs/>
      <w:color w:themeColor="accent1" w:themeShade="BF" w:val="1F1E1C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/>
      <w:color w:themeColor="accent1" w:themeShade="BF" w:val="1F1E1C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/>
      <w:i/>
      <w:iCs/>
      <w:color w:themeColor="text1" w:themeTint="A6" w:val="1F1E1C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/>
      <w:color w:themeColor="text1" w:themeTint="A6" w:val="1F1E1C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/>
      <w:i/>
      <w:iCs/>
      <w:color w:themeColor="text1" w:themeTint="D8" w:val="1F1E1C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/>
      <w:color w:themeColor="text1" w:themeTint="D8" w:val="1F1E1C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/>
      <w:color w:themeColor="accent1" w:themeShade="BF" w:val="1F1E1C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/>
      <w:color w:themeColor="accent1" w:themeShade="BF" w:val="1F1E1C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/>
      <w:color w:themeColor="accent1" w:themeShade="BF" w:val="1F1E1C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/>
      <w:i/>
      <w:iCs/>
      <w:color w:themeColor="accent1" w:themeShade="BF" w:val="1F1E1C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/>
      <w:color w:themeColor="accent1" w:themeShade="BF" w:val="1F1E1C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/>
      <w:i/>
      <w:iCs/>
      <w:color w:themeColor="text1" w:themeTint="A6" w:val="1F1E1C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/>
      <w:color w:themeColor="text1" w:themeTint="A6" w:val="1F1E1C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/>
      <w:i/>
      <w:iCs/>
      <w:color w:themeColor="text1" w:themeTint="D8" w:val="1F1E1C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/>
      <w:color w:themeColor="text1" w:themeTint="D8" w:val="1F1E1C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BDB6A8" w:space="0" w:sz="4" w:val="single"/>
        <w:left w:color="BDB6A8" w:space="0" w:sz="4" w:val="single"/>
        <w:bottom w:color="BDB6A8" w:space="0" w:sz="4" w:val="single"/>
        <w:right w:color="BDB6A8" w:space="0" w:sz="4" w:val="single"/>
        <w:insideH w:color="BDB6A8" w:space="0" w:sz="4" w:val="single"/>
        <w:insideV w:color="BDB6A8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" w:hAnsi="Arial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1F1E1C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/>
      <w:b w:val="0"/>
      <w:bCs w:val="0"/>
      <w:color w:themeColor="accent1" w:themeShade="BF" w:val="1F1E1C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Dealership IT Vendor Inventory Worksheet</dc:title>
  <dc:creator>Helion Technologies</dc:creator>
  <cp:keywords/>
  <dcterms:created xsi:type="dcterms:W3CDTF">2026-11-04T14:39:17Z</dcterms:created>
  <dcterms:modified xsi:type="dcterms:W3CDTF">2026-11-04T14:39:17Z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Every vendor, contract, renewal date, cost, contact, data access and failure owner on one sheet</vt:lpwstr>
  </property>
</Properties>
</file>