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Written Information Security Program (WISP)</w:t>
      </w:r>
    </w:p>
    <w:p>
      <w:pPr>
        <w:pStyle w:val="Subtitle"/>
      </w:pPr>
      <w:r>
        <w:t xml:space="preserve">Dealership WISP template, covering what the FTC Safeguards Rule asks for in 16 CFR 314.3 and 314.4</w:t>
      </w:r>
    </w:p>
    <w:p>
      <w:pPr>
        <w:pStyle w:val="Author"/>
      </w:pPr>
      <w:r>
        <w:t xml:space="preserve">Helion Technologies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Program details</w:t>
            </w:r>
          </w:p>
        </w:tc>
        <w:tc>
          <w:tcPr/>
          <w:p>
            <w:pPr>
              <w:pStyle w:val="Compact"/>
            </w:pPr>
            <w:r>
              <w:t xml:space="preserve">Fill in</w:t>
            </w:r>
          </w:p>
        </w:tc>
      </w:tr>
      <w:tr>
        <w:tc>
          <w:tcPr/>
          <w:p>
            <w:pPr>
              <w:pStyle w:val="Compact"/>
            </w:pPr>
            <w:r>
              <w:t xml:space="preserve">Dealership and rooftops covered</w:t>
            </w:r>
          </w:p>
        </w:tc>
        <w:tc>
          <w:tcPr/>
          <w:p>
            <w:pPr>
              <w:pStyle w:val="Compact"/>
            </w:pPr>
          </w:p>
        </w:tc>
      </w:tr>
      <w:tr>
        <w:tc>
          <w:tcPr/>
          <w:p>
            <w:pPr>
              <w:pStyle w:val="Compact"/>
            </w:pPr>
            <w:r>
              <w:t xml:space="preserve">Qualified Individual</w:t>
            </w:r>
          </w:p>
        </w:tc>
        <w:tc>
          <w:tcPr/>
          <w:p>
            <w:pPr>
              <w:pStyle w:val="Compact"/>
            </w:pPr>
          </w:p>
        </w:tc>
      </w:tr>
      <w:tr>
        <w:tc>
          <w:tcPr/>
          <w:p>
            <w:pPr>
              <w:pStyle w:val="Compact"/>
            </w:pPr>
            <w:r>
              <w:t xml:space="preserve">Senior person overseeing the Qualified Individual</w:t>
            </w:r>
          </w:p>
        </w:tc>
        <w:tc>
          <w:tcPr/>
          <w:p>
            <w:pPr>
              <w:pStyle w:val="Compact"/>
            </w:pPr>
          </w:p>
        </w:tc>
      </w:tr>
      <w:tr>
        <w:tc>
          <w:tcPr/>
          <w:p>
            <w:pPr>
              <w:pStyle w:val="Compact"/>
            </w:pPr>
            <w:r>
              <w:t xml:space="preserve">Version and effective date</w:t>
            </w:r>
          </w:p>
        </w:tc>
        <w:tc>
          <w:tcPr/>
          <w:p>
            <w:pPr>
              <w:pStyle w:val="Compact"/>
            </w:pPr>
          </w:p>
        </w:tc>
      </w:tr>
      <w:tr>
        <w:tc>
          <w:tcPr/>
          <w:p>
            <w:pPr>
              <w:pStyle w:val="Compact"/>
            </w:pPr>
            <w:r>
              <w:t xml:space="preserve">Next review due</w:t>
            </w:r>
          </w:p>
        </w:tc>
        <w:tc>
          <w:tcPr/>
          <w:p>
            <w:pPr>
              <w:pStyle w:val="Compact"/>
            </w:pPr>
          </w:p>
        </w:tc>
      </w:tr>
    </w:tbl>
    <w:p>
      <w:pPr>
        <w:pStyle w:val="BodyText"/>
      </w:pPr>
      <w:r>
        <w:rPr>
          <w:b/>
          <w:bCs/>
        </w:rPr>
        <w:t xml:space="preserve">How to use it.</w:t>
      </w:r>
      <w:r>
        <w:t xml:space="preserve"> </w:t>
      </w:r>
      <w:r>
        <w:t xml:space="preserve">This is the cover document of your program. Fill in each section with your Qualified Individual, controller, F&amp;I director and IT. Where a section points to a separate part (risk assessment, inventory, vendor register, incident response plan), file that part behind this document and list it in the parts index at the end. Sign it, date it and keep every version.</w:t>
      </w:r>
    </w:p>
    <w:bookmarkStart w:id="9" w:name="purpose-scope-and-objectives-314.3a-b"/>
    <w:p>
      <w:pPr>
        <w:pStyle w:val="Heading2"/>
      </w:pPr>
      <w:r>
        <w:t xml:space="preserve">1. Purpose, scope and objectives (314.3(a), (b))</w:t>
      </w:r>
    </w:p>
    <w:p>
      <w:pPr>
        <w:pStyle w:val="FirstParagraph"/>
      </w:pPr>
      <w:r>
        <w:t xml:space="preserve">What the program protects and where. Include every rooftop, department and related entity that shares systems. Objectives: keep customer information secure and confidential, protect it from anticipated threats, and prevent access that could cause substantial harm or inconvenience to a customer.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Dealership, rooftops and entities covered</w:t>
            </w:r>
          </w:p>
        </w:tc>
        <w:tc>
          <w:tcPr/>
          <w:p>
            <w:pPr>
              <w:pStyle w:val="Compact"/>
            </w:pPr>
          </w:p>
        </w:tc>
      </w:tr>
      <w:tr>
        <w:tc>
          <w:tcPr/>
          <w:p>
            <w:pPr>
              <w:pStyle w:val="Compact"/>
            </w:pPr>
            <w:r>
              <w:t xml:space="preserve">Customer information in scope</w:t>
            </w:r>
          </w:p>
        </w:tc>
        <w:tc>
          <w:tcPr/>
          <w:p>
            <w:pPr>
              <w:pStyle w:val="Compact"/>
            </w:pPr>
          </w:p>
        </w:tc>
      </w:tr>
      <w:tr>
        <w:tc>
          <w:tcPr/>
          <w:p>
            <w:pPr>
              <w:pStyle w:val="Compact"/>
            </w:pPr>
            <w:r>
              <w:t xml:space="preserve">Program objectives</w:t>
            </w:r>
          </w:p>
        </w:tc>
        <w:tc>
          <w:tcPr/>
          <w:p>
            <w:pPr>
              <w:pStyle w:val="Compact"/>
            </w:pPr>
          </w:p>
        </w:tc>
      </w:tr>
      <w:tr>
        <w:tc>
          <w:tcPr/>
          <w:p>
            <w:pPr>
              <w:pStyle w:val="Compact"/>
            </w:pPr>
            <w:r>
              <w:t xml:space="preserve">Effective date and version</w:t>
            </w:r>
          </w:p>
        </w:tc>
        <w:tc>
          <w:tcPr/>
          <w:p>
            <w:pPr>
              <w:pStyle w:val="Compact"/>
            </w:pPr>
          </w:p>
        </w:tc>
      </w:tr>
    </w:tbl>
    <w:bookmarkEnd w:id="9"/>
    <w:bookmarkStart w:id="10" w:name="Xdbd88f62c2cc4ceb245fb8398bdee17fe80fc55"/>
    <w:p>
      <w:pPr>
        <w:pStyle w:val="Heading2"/>
      </w:pPr>
      <w:r>
        <w:t xml:space="preserve">2. Qualified Individual and oversight (314.4(a))</w:t>
      </w:r>
    </w:p>
    <w:p>
      <w:pPr>
        <w:pStyle w:val="FirstParagraph"/>
      </w:pPr>
      <w:r>
        <w:t xml:space="preserve">One person oversees, implements and enforces the program. If that person works for a service provider or affiliate, the dealership keeps responsibility for compliance, names a senior person to direct and oversee them, and requires the provider to maintain its own program that protects the dealership.</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Qualified Individual (name, employer)</w:t>
            </w:r>
          </w:p>
        </w:tc>
        <w:tc>
          <w:tcPr/>
          <w:p>
            <w:pPr>
              <w:pStyle w:val="Compact"/>
            </w:pPr>
          </w:p>
        </w:tc>
      </w:tr>
      <w:tr>
        <w:tc>
          <w:tcPr/>
          <w:p>
            <w:pPr>
              <w:pStyle w:val="Compact"/>
            </w:pPr>
            <w:r>
              <w:t xml:space="preserve">Senior person who oversees them</w:t>
            </w:r>
          </w:p>
        </w:tc>
        <w:tc>
          <w:tcPr/>
          <w:p>
            <w:pPr>
              <w:pStyle w:val="Compact"/>
            </w:pPr>
          </w:p>
        </w:tc>
      </w:tr>
      <w:tr>
        <w:tc>
          <w:tcPr/>
          <w:p>
            <w:pPr>
              <w:pStyle w:val="Compact"/>
            </w:pPr>
            <w:r>
              <w:t xml:space="preserve">Provider program on file (if outside)</w:t>
            </w:r>
          </w:p>
        </w:tc>
        <w:tc>
          <w:tcPr/>
          <w:p>
            <w:pPr>
              <w:pStyle w:val="Compact"/>
            </w:pPr>
          </w:p>
        </w:tc>
      </w:tr>
      <w:tr>
        <w:tc>
          <w:tcPr/>
          <w:p>
            <w:pPr>
              <w:pStyle w:val="Compact"/>
            </w:pPr>
            <w:r>
              <w:t xml:space="preserve">Date appointed</w:t>
            </w:r>
          </w:p>
        </w:tc>
        <w:tc>
          <w:tcPr/>
          <w:p>
            <w:pPr>
              <w:pStyle w:val="Compact"/>
            </w:pPr>
          </w:p>
        </w:tc>
      </w:tr>
    </w:tbl>
    <w:bookmarkEnd w:id="10"/>
    <w:bookmarkStart w:id="11" w:name="risk-assessment-314.4b"/>
    <w:p>
      <w:pPr>
        <w:pStyle w:val="Heading2"/>
      </w:pPr>
      <w:r>
        <w:t xml:space="preserve">3. Risk assessment (314.4(b))</w:t>
      </w:r>
    </w:p>
    <w:p>
      <w:pPr>
        <w:pStyle w:val="FirstParagraph"/>
      </w:pPr>
      <w:r>
        <w:t xml:space="preserve">The program is based on a written risk assessment. Point to it here and copy over the highest-scoring risks.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Date of current assessment</w:t>
            </w:r>
          </w:p>
        </w:tc>
        <w:tc>
          <w:tcPr/>
          <w:p>
            <w:pPr>
              <w:pStyle w:val="Compact"/>
            </w:pPr>
          </w:p>
        </w:tc>
      </w:tr>
      <w:tr>
        <w:tc>
          <w:tcPr/>
          <w:p>
            <w:pPr>
              <w:pStyle w:val="Compact"/>
            </w:pPr>
            <w:r>
              <w:t xml:space="preserve">Where it is filed</w:t>
            </w:r>
          </w:p>
        </w:tc>
        <w:tc>
          <w:tcPr/>
          <w:p>
            <w:pPr>
              <w:pStyle w:val="Compact"/>
            </w:pPr>
          </w:p>
        </w:tc>
      </w:tr>
      <w:tr>
        <w:tc>
          <w:tcPr/>
          <w:p>
            <w:pPr>
              <w:pStyle w:val="Compact"/>
            </w:pPr>
            <w:r>
              <w:t xml:space="preserve">Highest-scoring risks</w:t>
            </w:r>
          </w:p>
        </w:tc>
        <w:tc>
          <w:tcPr/>
          <w:p>
            <w:pPr>
              <w:pStyle w:val="Compact"/>
            </w:pPr>
          </w:p>
        </w:tc>
      </w:tr>
      <w:tr>
        <w:tc>
          <w:tcPr/>
          <w:p>
            <w:pPr>
              <w:pStyle w:val="Compact"/>
            </w:pPr>
            <w:r>
              <w:t xml:space="preserve">Next assessment due</w:t>
            </w:r>
          </w:p>
        </w:tc>
        <w:tc>
          <w:tcPr/>
          <w:p>
            <w:pPr>
              <w:pStyle w:val="Compact"/>
            </w:pPr>
          </w:p>
        </w:tc>
      </w:tr>
    </w:tbl>
    <w:bookmarkEnd w:id="11"/>
    <w:bookmarkStart w:id="12" w:name="access-controls-and-mfa-314.4c1-c5"/>
    <w:p>
      <w:pPr>
        <w:pStyle w:val="Heading2"/>
      </w:pPr>
      <w:r>
        <w:t xml:space="preserve">4. Access controls and MFA (314.4(c)(1), (c)(5))</w:t>
      </w:r>
    </w:p>
    <w:p>
      <w:pPr>
        <w:pStyle w:val="FirstParagraph"/>
      </w:pPr>
      <w:r>
        <w:t xml:space="preserve">How access is granted, limited to what each person needs, reviewed and removed. Multi-factor authentication for anyone accessing any information system, unless the Qualified Individual approves an equivalent or stronger control in writing.</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How access is granted and removed</w:t>
            </w:r>
          </w:p>
        </w:tc>
        <w:tc>
          <w:tcPr/>
          <w:p>
            <w:pPr>
              <w:pStyle w:val="Compact"/>
            </w:pPr>
          </w:p>
        </w:tc>
      </w:tr>
      <w:tr>
        <w:tc>
          <w:tcPr/>
          <w:p>
            <w:pPr>
              <w:pStyle w:val="Compact"/>
            </w:pPr>
            <w:r>
              <w:t xml:space="preserve">MFA coverage</w:t>
            </w:r>
          </w:p>
        </w:tc>
        <w:tc>
          <w:tcPr/>
          <w:p>
            <w:pPr>
              <w:pStyle w:val="Compact"/>
            </w:pPr>
          </w:p>
        </w:tc>
      </w:tr>
      <w:tr>
        <w:tc>
          <w:tcPr/>
          <w:p>
            <w:pPr>
              <w:pStyle w:val="Compact"/>
            </w:pPr>
            <w:r>
              <w:t xml:space="preserve">Written MFA exceptions and approval</w:t>
            </w:r>
          </w:p>
        </w:tc>
        <w:tc>
          <w:tcPr/>
          <w:p>
            <w:pPr>
              <w:pStyle w:val="Compact"/>
            </w:pPr>
          </w:p>
        </w:tc>
      </w:tr>
      <w:tr>
        <w:tc>
          <w:tcPr/>
          <w:p>
            <w:pPr>
              <w:pStyle w:val="Compact"/>
            </w:pPr>
            <w:r>
              <w:t xml:space="preserve">Access review owner and schedule</w:t>
            </w:r>
          </w:p>
        </w:tc>
        <w:tc>
          <w:tcPr/>
          <w:p>
            <w:pPr>
              <w:pStyle w:val="Compact"/>
            </w:pPr>
          </w:p>
        </w:tc>
      </w:tr>
      <w:tr>
        <w:tc>
          <w:tcPr/>
          <w:p>
            <w:pPr>
              <w:pStyle w:val="Compact"/>
            </w:pPr>
            <w:r>
              <w:t xml:space="preserve">Physical access to paper files</w:t>
            </w:r>
          </w:p>
        </w:tc>
        <w:tc>
          <w:tcPr/>
          <w:p>
            <w:pPr>
              <w:pStyle w:val="Compact"/>
            </w:pPr>
          </w:p>
        </w:tc>
      </w:tr>
    </w:tbl>
    <w:bookmarkEnd w:id="12"/>
    <w:bookmarkStart w:id="13" w:name="data-devices-and-systems-314.4c2"/>
    <w:p>
      <w:pPr>
        <w:pStyle w:val="Heading2"/>
      </w:pPr>
      <w:r>
        <w:t xml:space="preserve">5. Data, devices and systems (314.4(c)(2))</w:t>
      </w:r>
    </w:p>
    <w:p>
      <w:pPr>
        <w:pStyle w:val="FirstParagraph"/>
      </w:pPr>
      <w:r>
        <w:t xml:space="preserve">Inventory of the data, personnel, devices, systems and facilities the business runs on, ranked by importance. Keep the full list as its own part.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System or place</w:t>
            </w:r>
          </w:p>
        </w:tc>
        <w:tc>
          <w:tcPr/>
          <w:p>
            <w:pPr>
              <w:pStyle w:val="Compact"/>
            </w:pPr>
            <w:r>
              <w:t xml:space="preserve">Customer information it holds</w:t>
            </w:r>
          </w:p>
        </w:tc>
        <w:tc>
          <w:tcPr/>
          <w:p>
            <w:pPr>
              <w:pStyle w:val="Compact"/>
            </w:pPr>
            <w:r>
              <w:t xml:space="preserve">Importance (1 to 3)</w:t>
            </w:r>
          </w:p>
        </w:tc>
        <w:tc>
          <w:tcPr/>
          <w:p>
            <w:pPr>
              <w:pStyle w:val="Compact"/>
            </w:pPr>
            <w:r>
              <w:t xml:space="preserve">Owner</w:t>
            </w:r>
          </w:p>
        </w:tc>
      </w:tr>
      <w:tr>
        <w:tc>
          <w:tcPr/>
          <w:p>
            <w:pPr>
              <w:pStyle w:val="Compact"/>
            </w:pPr>
            <w:r>
              <w:t xml:space="preserve">DMS</w:t>
            </w:r>
          </w:p>
        </w:tc>
        <w:tc>
          <w:tcPr/>
          <w:p>
            <w:pPr>
              <w:pStyle w:val="Compact"/>
            </w:pPr>
          </w:p>
        </w:tc>
        <w:tc>
          <w:tcPr/>
          <w:p>
            <w:pPr>
              <w:pStyle w:val="Compact"/>
            </w:pPr>
          </w:p>
        </w:tc>
        <w:tc>
          <w:tcPr/>
          <w:p>
            <w:pPr>
              <w:pStyle w:val="Compact"/>
            </w:pPr>
          </w:p>
        </w:tc>
      </w:tr>
      <w:tr>
        <w:tc>
          <w:tcPr/>
          <w:p>
            <w:pPr>
              <w:pStyle w:val="Compact"/>
            </w:pPr>
            <w:r>
              <w:t xml:space="preserve">CRM and BDC tools</w:t>
            </w:r>
          </w:p>
        </w:tc>
        <w:tc>
          <w:tcPr/>
          <w:p>
            <w:pPr>
              <w:pStyle w:val="Compact"/>
            </w:pPr>
          </w:p>
        </w:tc>
        <w:tc>
          <w:tcPr/>
          <w:p>
            <w:pPr>
              <w:pStyle w:val="Compact"/>
            </w:pPr>
          </w:p>
        </w:tc>
        <w:tc>
          <w:tcPr/>
          <w:p>
            <w:pPr>
              <w:pStyle w:val="Compact"/>
            </w:pPr>
          </w:p>
        </w:tc>
      </w:tr>
      <w:tr>
        <w:tc>
          <w:tcPr/>
          <w:p>
            <w:pPr>
              <w:pStyle w:val="Compact"/>
            </w:pPr>
            <w:r>
              <w:t xml:space="preserve">F&amp;I menu and e-contracting</w:t>
            </w:r>
          </w:p>
        </w:tc>
        <w:tc>
          <w:tcPr/>
          <w:p>
            <w:pPr>
              <w:pStyle w:val="Compact"/>
            </w:pPr>
          </w:p>
        </w:tc>
        <w:tc>
          <w:tcPr/>
          <w:p>
            <w:pPr>
              <w:pStyle w:val="Compact"/>
            </w:pPr>
          </w:p>
        </w:tc>
        <w:tc>
          <w:tcPr/>
          <w:p>
            <w:pPr>
              <w:pStyle w:val="Compact"/>
            </w:pPr>
          </w:p>
        </w:tc>
      </w:tr>
      <w:tr>
        <w:tc>
          <w:tcPr/>
          <w:p>
            <w:pPr>
              <w:pStyle w:val="Compact"/>
            </w:pPr>
            <w:r>
              <w:t xml:space="preserve">Credit bureau and lender portals</w:t>
            </w:r>
          </w:p>
        </w:tc>
        <w:tc>
          <w:tcPr/>
          <w:p>
            <w:pPr>
              <w:pStyle w:val="Compact"/>
            </w:pPr>
          </w:p>
        </w:tc>
        <w:tc>
          <w:tcPr/>
          <w:p>
            <w:pPr>
              <w:pStyle w:val="Compact"/>
            </w:pPr>
          </w:p>
        </w:tc>
        <w:tc>
          <w:tcPr/>
          <w:p>
            <w:pPr>
              <w:pStyle w:val="Compact"/>
            </w:pPr>
          </w:p>
        </w:tc>
      </w:tr>
      <w:tr>
        <w:tc>
          <w:tcPr/>
          <w:p>
            <w:pPr>
              <w:pStyle w:val="Compact"/>
            </w:pPr>
            <w:r>
              <w:t xml:space="preserve">Email and Microsoft 365</w:t>
            </w:r>
          </w:p>
        </w:tc>
        <w:tc>
          <w:tcPr/>
          <w:p>
            <w:pPr>
              <w:pStyle w:val="Compact"/>
            </w:pPr>
          </w:p>
        </w:tc>
        <w:tc>
          <w:tcPr/>
          <w:p>
            <w:pPr>
              <w:pStyle w:val="Compact"/>
            </w:pPr>
          </w:p>
        </w:tc>
        <w:tc>
          <w:tcPr/>
          <w:p>
            <w:pPr>
              <w:pStyle w:val="Compact"/>
            </w:pPr>
          </w:p>
        </w:tc>
      </w:tr>
      <w:tr>
        <w:tc>
          <w:tcPr/>
          <w:p>
            <w:pPr>
              <w:pStyle w:val="Compact"/>
            </w:pPr>
            <w:r>
              <w:t xml:space="preserve">File server and scanned deal jackets</w:t>
            </w:r>
          </w:p>
        </w:tc>
        <w:tc>
          <w:tcPr/>
          <w:p>
            <w:pPr>
              <w:pStyle w:val="Compact"/>
            </w:pPr>
          </w:p>
        </w:tc>
        <w:tc>
          <w:tcPr/>
          <w:p>
            <w:pPr>
              <w:pStyle w:val="Compact"/>
            </w:pPr>
          </w:p>
        </w:tc>
        <w:tc>
          <w:tcPr/>
          <w:p>
            <w:pPr>
              <w:pStyle w:val="Compact"/>
            </w:pPr>
          </w:p>
        </w:tc>
      </w:tr>
      <w:tr>
        <w:tc>
          <w:tcPr/>
          <w:p>
            <w:pPr>
              <w:pStyle w:val="Compact"/>
            </w:pPr>
            <w:r>
              <w:t xml:space="preserve">Laptops and phones</w:t>
            </w:r>
          </w:p>
        </w:tc>
        <w:tc>
          <w:tcPr/>
          <w:p>
            <w:pPr>
              <w:pStyle w:val="Compact"/>
            </w:pPr>
          </w:p>
        </w:tc>
        <w:tc>
          <w:tcPr/>
          <w:p>
            <w:pPr>
              <w:pStyle w:val="Compact"/>
            </w:pPr>
          </w:p>
        </w:tc>
        <w:tc>
          <w:tcPr/>
          <w:p>
            <w:pPr>
              <w:pStyle w:val="Compact"/>
            </w:pPr>
          </w:p>
        </w:tc>
      </w:tr>
      <w:tr>
        <w:tc>
          <w:tcPr/>
          <w:p>
            <w:pPr>
              <w:pStyle w:val="Compact"/>
            </w:pPr>
            <w:r>
              <w:t xml:space="preserve">Paper deal jackets and old deal files</w:t>
            </w:r>
          </w:p>
        </w:tc>
        <w:tc>
          <w:tcPr/>
          <w:p>
            <w:pPr>
              <w:pStyle w:val="Compact"/>
            </w:pPr>
          </w:p>
        </w:tc>
        <w:tc>
          <w:tcPr/>
          <w:p>
            <w:pPr>
              <w:pStyle w:val="Compact"/>
            </w:pPr>
          </w:p>
        </w:tc>
        <w:tc>
          <w:tcPr/>
          <w:p>
            <w:pPr>
              <w:pStyle w:val="Compact"/>
            </w:pPr>
          </w:p>
        </w:tc>
      </w:tr>
      <w:tr>
        <w:tc>
          <w:tcPr/>
          <w:p>
            <w:pPr>
              <w:pStyle w:val="Compact"/>
            </w:pPr>
            <w:r>
              <w:t xml:space="preserve">Backups</w:t>
            </w:r>
          </w:p>
        </w:tc>
        <w:tc>
          <w:tcPr/>
          <w:p>
            <w:pPr>
              <w:pStyle w:val="Compact"/>
            </w:pPr>
          </w:p>
        </w:tc>
        <w:tc>
          <w:tcPr/>
          <w:p>
            <w:pPr>
              <w:pStyle w:val="Compact"/>
            </w:pPr>
          </w:p>
        </w:tc>
        <w:tc>
          <w:tcPr/>
          <w:p>
            <w:pPr>
              <w:pStyle w:val="Compact"/>
            </w:pPr>
          </w:p>
        </w:tc>
      </w:tr>
      <w:tr>
        <w:tc>
          <w:tcPr/>
          <w:p>
            <w:pPr>
              <w:pStyle w:val="Compact"/>
            </w:pPr>
            <w:r>
              <w:t xml:space="preserve">Other</w:t>
            </w:r>
          </w:p>
        </w:tc>
        <w:tc>
          <w:tcPr/>
          <w:p>
            <w:pPr>
              <w:pStyle w:val="Compact"/>
            </w:pPr>
          </w:p>
        </w:tc>
        <w:tc>
          <w:tcPr/>
          <w:p>
            <w:pPr>
              <w:pStyle w:val="Compact"/>
            </w:pPr>
          </w:p>
        </w:tc>
        <w:tc>
          <w:tcPr/>
          <w:p>
            <w:pPr>
              <w:pStyle w:val="Compact"/>
            </w:pPr>
          </w:p>
        </w:tc>
      </w:tr>
    </w:tbl>
    <w:bookmarkEnd w:id="13"/>
    <w:bookmarkStart w:id="14" w:name="encryption-314.4c3"/>
    <w:p>
      <w:pPr>
        <w:pStyle w:val="Heading2"/>
      </w:pPr>
      <w:r>
        <w:t xml:space="preserve">6. Encryption (314.4(c)(3))</w:t>
      </w:r>
    </w:p>
    <w:p>
      <w:pPr>
        <w:pStyle w:val="FirstParagraph"/>
      </w:pPr>
      <w:r>
        <w:t xml:space="preserve">Customer information is encrypted at rest and in transit over external networks. Where infeasible, list the compensating control and the Qualified Individual approval.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w:t>
            </w:r>
          </w:p>
        </w:tc>
        <w:tc>
          <w:tcPr/>
          <w:p>
            <w:pPr>
              <w:pStyle w:val="Compact"/>
            </w:pPr>
            <w:r>
              <w:t xml:space="preserve">At rest</w:t>
            </w:r>
          </w:p>
        </w:tc>
        <w:tc>
          <w:tcPr/>
          <w:p>
            <w:pPr>
              <w:pStyle w:val="Compact"/>
            </w:pPr>
            <w:r>
              <w:t xml:space="preserve">In transit</w:t>
            </w:r>
          </w:p>
        </w:tc>
        <w:tc>
          <w:tcPr/>
          <w:p>
            <w:pPr>
              <w:pStyle w:val="Compact"/>
            </w:pPr>
            <w:r>
              <w:t xml:space="preserve">Exception and compensating control</w:t>
            </w:r>
          </w:p>
        </w:tc>
        <w:tc>
          <w:tcPr/>
          <w:p>
            <w:pPr>
              <w:pStyle w:val="Compact"/>
            </w:pPr>
            <w:r>
              <w:t xml:space="preserve">Approved by, date</w:t>
            </w: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bl>
    <w:bookmarkEnd w:id="14"/>
    <w:bookmarkStart w:id="15" w:name="X428f413e3f8d2652d30bb06afb761423934ae08"/>
    <w:p>
      <w:pPr>
        <w:pStyle w:val="Heading2"/>
      </w:pPr>
      <w:r>
        <w:t xml:space="preserve">7. Applications, changes and monitoring (314.4(c)(4), (c)(7), (c)(8))</w:t>
      </w:r>
    </w:p>
    <w:p>
      <w:pPr>
        <w:pStyle w:val="FirstParagraph"/>
      </w:pPr>
      <w:r>
        <w:t xml:space="preserve">How you check the security of purchased and in-house applications, how changes to systems are approved and recorded, and how the activity of authorized users is logged and reviewed.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How purchased and in-house apps are checked</w:t>
            </w:r>
          </w:p>
        </w:tc>
        <w:tc>
          <w:tcPr/>
          <w:p>
            <w:pPr>
              <w:pStyle w:val="Compact"/>
            </w:pPr>
          </w:p>
        </w:tc>
      </w:tr>
      <w:tr>
        <w:tc>
          <w:tcPr/>
          <w:p>
            <w:pPr>
              <w:pStyle w:val="Compact"/>
            </w:pPr>
            <w:r>
              <w:t xml:space="preserve">Change approval process</w:t>
            </w:r>
          </w:p>
        </w:tc>
        <w:tc>
          <w:tcPr/>
          <w:p>
            <w:pPr>
              <w:pStyle w:val="Compact"/>
            </w:pPr>
          </w:p>
        </w:tc>
      </w:tr>
      <w:tr>
        <w:tc>
          <w:tcPr/>
          <w:p>
            <w:pPr>
              <w:pStyle w:val="Compact"/>
            </w:pPr>
            <w:r>
              <w:t xml:space="preserve">Activity logging and who reviews it</w:t>
            </w:r>
          </w:p>
        </w:tc>
        <w:tc>
          <w:tcPr/>
          <w:p>
            <w:pPr>
              <w:pStyle w:val="Compact"/>
            </w:pPr>
          </w:p>
        </w:tc>
      </w:tr>
    </w:tbl>
    <w:bookmarkEnd w:id="15"/>
    <w:bookmarkStart w:id="16" w:name="retention-and-disposal-314.4c6"/>
    <w:p>
      <w:pPr>
        <w:pStyle w:val="Heading2"/>
      </w:pPr>
      <w:r>
        <w:t xml:space="preserve">8. Retention and disposal (314.4(c)(6))</w:t>
      </w:r>
    </w:p>
    <w:p>
      <w:pPr>
        <w:pStyle w:val="FirstParagraph"/>
      </w:pPr>
      <w:r>
        <w:t xml:space="preserve">Securely dispose of customer information no later than two years after last use for that customer, unless needed for business, required by law, or targeted disposal is not reasonably feasible. Review the retention policy periodically.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Records kept and the reason</w:t>
            </w:r>
          </w:p>
        </w:tc>
        <w:tc>
          <w:tcPr/>
          <w:p>
            <w:pPr>
              <w:pStyle w:val="Compact"/>
            </w:pPr>
          </w:p>
        </w:tc>
      </w:tr>
      <w:tr>
        <w:tc>
          <w:tcPr/>
          <w:p>
            <w:pPr>
              <w:pStyle w:val="Compact"/>
            </w:pPr>
            <w:r>
              <w:t xml:space="preserve">Disposal method for paper</w:t>
            </w:r>
          </w:p>
        </w:tc>
        <w:tc>
          <w:tcPr/>
          <w:p>
            <w:pPr>
              <w:pStyle w:val="Compact"/>
            </w:pPr>
          </w:p>
        </w:tc>
      </w:tr>
      <w:tr>
        <w:tc>
          <w:tcPr/>
          <w:p>
            <w:pPr>
              <w:pStyle w:val="Compact"/>
            </w:pPr>
            <w:r>
              <w:t xml:space="preserve">Disposal method for drives and devices</w:t>
            </w:r>
          </w:p>
        </w:tc>
        <w:tc>
          <w:tcPr/>
          <w:p>
            <w:pPr>
              <w:pStyle w:val="Compact"/>
            </w:pPr>
          </w:p>
        </w:tc>
      </w:tr>
      <w:tr>
        <w:tc>
          <w:tcPr/>
          <w:p>
            <w:pPr>
              <w:pStyle w:val="Compact"/>
            </w:pPr>
            <w:r>
              <w:t xml:space="preserve">Last retention policy review</w:t>
            </w:r>
          </w:p>
        </w:tc>
        <w:tc>
          <w:tcPr/>
          <w:p>
            <w:pPr>
              <w:pStyle w:val="Compact"/>
            </w:pPr>
          </w:p>
        </w:tc>
      </w:tr>
    </w:tbl>
    <w:bookmarkEnd w:id="16"/>
    <w:bookmarkStart w:id="17" w:name="testing-and-monitoring-314.4d"/>
    <w:p>
      <w:pPr>
        <w:pStyle w:val="Heading2"/>
      </w:pPr>
      <w:r>
        <w:t xml:space="preserve">9. Testing and monitoring (314.4(d))</w:t>
      </w:r>
    </w:p>
    <w:p>
      <w:pPr>
        <w:pStyle w:val="FirstParagraph"/>
      </w:pPr>
      <w:r>
        <w:t xml:space="preserve">Regularly test or monitor key controls. Without effective continuous monitoring: annual penetration testing based on the risk assessment, and vulnerability assessments at least every six months and after material changes.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Continuous monitoring in place (what)</w:t>
            </w:r>
          </w:p>
        </w:tc>
        <w:tc>
          <w:tcPr/>
          <w:p>
            <w:pPr>
              <w:pStyle w:val="Compact"/>
            </w:pPr>
          </w:p>
        </w:tc>
      </w:tr>
      <w:tr>
        <w:tc>
          <w:tcPr/>
          <w:p>
            <w:pPr>
              <w:pStyle w:val="Compact"/>
            </w:pPr>
            <w:r>
              <w:t xml:space="preserve">Last penetration test, next due</w:t>
            </w:r>
          </w:p>
        </w:tc>
        <w:tc>
          <w:tcPr/>
          <w:p>
            <w:pPr>
              <w:pStyle w:val="Compact"/>
            </w:pPr>
          </w:p>
        </w:tc>
      </w:tr>
      <w:tr>
        <w:tc>
          <w:tcPr/>
          <w:p>
            <w:pPr>
              <w:pStyle w:val="Compact"/>
            </w:pPr>
            <w:r>
              <w:t xml:space="preserve">Last vulnerability assessment, next due</w:t>
            </w:r>
          </w:p>
        </w:tc>
        <w:tc>
          <w:tcPr/>
          <w:p>
            <w:pPr>
              <w:pStyle w:val="Compact"/>
            </w:pPr>
          </w:p>
        </w:tc>
      </w:tr>
      <w:tr>
        <w:tc>
          <w:tcPr/>
          <w:p>
            <w:pPr>
              <w:pStyle w:val="Compact"/>
            </w:pPr>
            <w:r>
              <w:t xml:space="preserve">Where results go</w:t>
            </w:r>
          </w:p>
        </w:tc>
        <w:tc>
          <w:tcPr/>
          <w:p>
            <w:pPr>
              <w:pStyle w:val="Compact"/>
            </w:pPr>
          </w:p>
        </w:tc>
      </w:tr>
    </w:tbl>
    <w:bookmarkEnd w:id="17"/>
    <w:bookmarkStart w:id="18" w:name="people-and-training-314.4e"/>
    <w:p>
      <w:pPr>
        <w:pStyle w:val="Heading2"/>
      </w:pPr>
      <w:r>
        <w:t xml:space="preserve">10. People and training (314.4(e))</w:t>
      </w:r>
    </w:p>
    <w:p>
      <w:pPr>
        <w:pStyle w:val="FirstParagraph"/>
      </w:pPr>
      <w:r>
        <w:t xml:space="preserve">Security awareness training updated to reflect the risk assessment; qualified security personnel (staff or provider) who receive security updates and stay current on threats.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Training topics and schedule</w:t>
            </w:r>
          </w:p>
        </w:tc>
        <w:tc>
          <w:tcPr/>
          <w:p>
            <w:pPr>
              <w:pStyle w:val="Compact"/>
            </w:pPr>
          </w:p>
        </w:tc>
      </w:tr>
      <w:tr>
        <w:tc>
          <w:tcPr/>
          <w:p>
            <w:pPr>
              <w:pStyle w:val="Compact"/>
            </w:pPr>
            <w:r>
              <w:t xml:space="preserve">Completion tracking</w:t>
            </w:r>
          </w:p>
        </w:tc>
        <w:tc>
          <w:tcPr/>
          <w:p>
            <w:pPr>
              <w:pStyle w:val="Compact"/>
            </w:pPr>
          </w:p>
        </w:tc>
      </w:tr>
      <w:tr>
        <w:tc>
          <w:tcPr/>
          <w:p>
            <w:pPr>
              <w:pStyle w:val="Compact"/>
            </w:pPr>
            <w:r>
              <w:t xml:space="preserve">Security staff or provider</w:t>
            </w:r>
          </w:p>
        </w:tc>
        <w:tc>
          <w:tcPr/>
          <w:p>
            <w:pPr>
              <w:pStyle w:val="Compact"/>
            </w:pPr>
          </w:p>
        </w:tc>
      </w:tr>
      <w:tr>
        <w:tc>
          <w:tcPr/>
          <w:p>
            <w:pPr>
              <w:pStyle w:val="Compact"/>
            </w:pPr>
            <w:r>
              <w:t xml:space="preserve">How they stay current</w:t>
            </w:r>
          </w:p>
        </w:tc>
        <w:tc>
          <w:tcPr/>
          <w:p>
            <w:pPr>
              <w:pStyle w:val="Compact"/>
            </w:pPr>
          </w:p>
        </w:tc>
      </w:tr>
    </w:tbl>
    <w:bookmarkEnd w:id="18"/>
    <w:bookmarkStart w:id="19" w:name="service-providers-314.4f"/>
    <w:p>
      <w:pPr>
        <w:pStyle w:val="Heading2"/>
      </w:pPr>
      <w:r>
        <w:t xml:space="preserve">11. Service providers (314.4(f))</w:t>
      </w:r>
    </w:p>
    <w:p>
      <w:pPr>
        <w:pStyle w:val="FirstParagraph"/>
      </w:pPr>
      <w:r>
        <w:t xml:space="preserve">Select providers able to safeguard customer information, require safeguards by contract, and assess them periodically based on the risk they present. Keep the vendor register as its own part.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Vendor</w:t>
            </w:r>
          </w:p>
        </w:tc>
        <w:tc>
          <w:tcPr/>
          <w:p>
            <w:pPr>
              <w:pStyle w:val="Compact"/>
            </w:pPr>
            <w:r>
              <w:t xml:space="preserve">What it holds or can reach</w:t>
            </w:r>
          </w:p>
        </w:tc>
        <w:tc>
          <w:tcPr/>
          <w:p>
            <w:pPr>
              <w:pStyle w:val="Compact"/>
            </w:pPr>
            <w:r>
              <w:t xml:space="preserve">Security terms in contract?</w:t>
            </w:r>
          </w:p>
        </w:tc>
        <w:tc>
          <w:tcPr/>
          <w:p>
            <w:pPr>
              <w:pStyle w:val="Compact"/>
            </w:pPr>
            <w:r>
              <w:t xml:space="preserve">Last review</w:t>
            </w:r>
          </w:p>
        </w:tc>
      </w:tr>
      <w:tr>
        <w:tc>
          <w:tcPr/>
          <w:p>
            <w:pPr>
              <w:pStyle w:val="Compact"/>
            </w:pPr>
            <w:r>
              <w:t xml:space="preserve">DMS provider</w:t>
            </w:r>
          </w:p>
        </w:tc>
        <w:tc>
          <w:tcPr/>
          <w:p>
            <w:pPr>
              <w:pStyle w:val="Compact"/>
            </w:pPr>
          </w:p>
        </w:tc>
        <w:tc>
          <w:tcPr/>
          <w:p>
            <w:pPr>
              <w:pStyle w:val="Compact"/>
            </w:pPr>
          </w:p>
        </w:tc>
        <w:tc>
          <w:tcPr/>
          <w:p>
            <w:pPr>
              <w:pStyle w:val="Compact"/>
            </w:pPr>
          </w:p>
        </w:tc>
      </w:tr>
      <w:tr>
        <w:tc>
          <w:tcPr/>
          <w:p>
            <w:pPr>
              <w:pStyle w:val="Compact"/>
            </w:pPr>
            <w:r>
              <w:t xml:space="preserve">CRM</w:t>
            </w:r>
          </w:p>
        </w:tc>
        <w:tc>
          <w:tcPr/>
          <w:p>
            <w:pPr>
              <w:pStyle w:val="Compact"/>
            </w:pPr>
          </w:p>
        </w:tc>
        <w:tc>
          <w:tcPr/>
          <w:p>
            <w:pPr>
              <w:pStyle w:val="Compact"/>
            </w:pPr>
          </w:p>
        </w:tc>
        <w:tc>
          <w:tcPr/>
          <w:p>
            <w:pPr>
              <w:pStyle w:val="Compact"/>
            </w:pPr>
          </w:p>
        </w:tc>
      </w:tr>
      <w:tr>
        <w:tc>
          <w:tcPr/>
          <w:p>
            <w:pPr>
              <w:pStyle w:val="Compact"/>
            </w:pPr>
            <w:r>
              <w:t xml:space="preserve">Credit bureau connection</w:t>
            </w:r>
          </w:p>
        </w:tc>
        <w:tc>
          <w:tcPr/>
          <w:p>
            <w:pPr>
              <w:pStyle w:val="Compact"/>
            </w:pPr>
          </w:p>
        </w:tc>
        <w:tc>
          <w:tcPr/>
          <w:p>
            <w:pPr>
              <w:pStyle w:val="Compact"/>
            </w:pPr>
          </w:p>
        </w:tc>
        <w:tc>
          <w:tcPr/>
          <w:p>
            <w:pPr>
              <w:pStyle w:val="Compact"/>
            </w:pPr>
          </w:p>
        </w:tc>
      </w:tr>
      <w:tr>
        <w:tc>
          <w:tcPr/>
          <w:p>
            <w:pPr>
              <w:pStyle w:val="Compact"/>
            </w:pPr>
            <w:r>
              <w:t xml:space="preserve">E-contracting or F&amp;I platform</w:t>
            </w:r>
          </w:p>
        </w:tc>
        <w:tc>
          <w:tcPr/>
          <w:p>
            <w:pPr>
              <w:pStyle w:val="Compact"/>
            </w:pPr>
          </w:p>
        </w:tc>
        <w:tc>
          <w:tcPr/>
          <w:p>
            <w:pPr>
              <w:pStyle w:val="Compact"/>
            </w:pPr>
          </w:p>
        </w:tc>
        <w:tc>
          <w:tcPr/>
          <w:p>
            <w:pPr>
              <w:pStyle w:val="Compact"/>
            </w:pPr>
          </w:p>
        </w:tc>
      </w:tr>
      <w:tr>
        <w:tc>
          <w:tcPr/>
          <w:p>
            <w:pPr>
              <w:pStyle w:val="Compact"/>
            </w:pPr>
            <w:r>
              <w:t xml:space="preserve">IT and security provider</w:t>
            </w:r>
          </w:p>
        </w:tc>
        <w:tc>
          <w:tcPr/>
          <w:p>
            <w:pPr>
              <w:pStyle w:val="Compact"/>
            </w:pPr>
          </w:p>
        </w:tc>
        <w:tc>
          <w:tcPr/>
          <w:p>
            <w:pPr>
              <w:pStyle w:val="Compact"/>
            </w:pPr>
          </w:p>
        </w:tc>
        <w:tc>
          <w:tcPr/>
          <w:p>
            <w:pPr>
              <w:pStyle w:val="Compact"/>
            </w:pPr>
          </w:p>
        </w:tc>
      </w:tr>
      <w:tr>
        <w:tc>
          <w:tcPr/>
          <w:p>
            <w:pPr>
              <w:pStyle w:val="Compact"/>
            </w:pPr>
            <w:r>
              <w:t xml:space="preserve">Payroll</w:t>
            </w:r>
          </w:p>
        </w:tc>
        <w:tc>
          <w:tcPr/>
          <w:p>
            <w:pPr>
              <w:pStyle w:val="Compact"/>
            </w:pPr>
          </w:p>
        </w:tc>
        <w:tc>
          <w:tcPr/>
          <w:p>
            <w:pPr>
              <w:pStyle w:val="Compact"/>
            </w:pPr>
          </w:p>
        </w:tc>
        <w:tc>
          <w:tcPr/>
          <w:p>
            <w:pPr>
              <w:pStyle w:val="Compact"/>
            </w:pPr>
          </w:p>
        </w:tc>
      </w:tr>
      <w:tr>
        <w:tc>
          <w:tcPr/>
          <w:p>
            <w:pPr>
              <w:pStyle w:val="Compact"/>
            </w:pPr>
            <w:r>
              <w:t xml:space="preserve">Website and chat</w:t>
            </w:r>
          </w:p>
        </w:tc>
        <w:tc>
          <w:tcPr/>
          <w:p>
            <w:pPr>
              <w:pStyle w:val="Compact"/>
            </w:pPr>
          </w:p>
        </w:tc>
        <w:tc>
          <w:tcPr/>
          <w:p>
            <w:pPr>
              <w:pStyle w:val="Compact"/>
            </w:pPr>
          </w:p>
        </w:tc>
        <w:tc>
          <w:tcPr/>
          <w:p>
            <w:pPr>
              <w:pStyle w:val="Compact"/>
            </w:pPr>
          </w:p>
        </w:tc>
      </w:tr>
      <w:tr>
        <w:tc>
          <w:tcPr/>
          <w:p>
            <w:pPr>
              <w:pStyle w:val="Compact"/>
            </w:pPr>
            <w:r>
              <w:t xml:space="preserve">Other</w:t>
            </w:r>
          </w:p>
        </w:tc>
        <w:tc>
          <w:tcPr/>
          <w:p>
            <w:pPr>
              <w:pStyle w:val="Compact"/>
            </w:pPr>
          </w:p>
        </w:tc>
        <w:tc>
          <w:tcPr/>
          <w:p>
            <w:pPr>
              <w:pStyle w:val="Compact"/>
            </w:pPr>
          </w:p>
        </w:tc>
        <w:tc>
          <w:tcPr/>
          <w:p>
            <w:pPr>
              <w:pStyle w:val="Compact"/>
            </w:pPr>
          </w:p>
        </w:tc>
      </w:tr>
    </w:tbl>
    <w:bookmarkEnd w:id="19"/>
    <w:bookmarkStart w:id="20" w:name="X03f38935a5bb6e72196c4bb120bb7f09df2294f"/>
    <w:p>
      <w:pPr>
        <w:pStyle w:val="Heading2"/>
      </w:pPr>
      <w:r>
        <w:t xml:space="preserve">12. Incident response and FTC notice (314.4(h), (j))</w:t>
      </w:r>
    </w:p>
    <w:p>
      <w:pPr>
        <w:pStyle w:val="FirstParagraph"/>
      </w:pPr>
      <w:r>
        <w:t xml:space="preserve">Point to the written incident response plan (goals, internal processes, roles and authority, communications, remediation, documentation, review after an event). If a notification event involves the information of at least 500 consumers, notify the FTC as soon as possible and no later than 30 days after discovery, on the form on ftc.gov.</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Where the plan is filed</w:t>
            </w:r>
          </w:p>
        </w:tc>
        <w:tc>
          <w:tcPr/>
          <w:p>
            <w:pPr>
              <w:pStyle w:val="Compact"/>
            </w:pPr>
          </w:p>
        </w:tc>
      </w:tr>
      <w:tr>
        <w:tc>
          <w:tcPr/>
          <w:p>
            <w:pPr>
              <w:pStyle w:val="Compact"/>
            </w:pPr>
            <w:r>
              <w:t xml:space="preserve">Incident lead</w:t>
            </w:r>
          </w:p>
        </w:tc>
        <w:tc>
          <w:tcPr/>
          <w:p>
            <w:pPr>
              <w:pStyle w:val="Compact"/>
            </w:pPr>
          </w:p>
        </w:tc>
      </w:tr>
      <w:tr>
        <w:tc>
          <w:tcPr/>
          <w:p>
            <w:pPr>
              <w:pStyle w:val="Compact"/>
            </w:pPr>
            <w:r>
              <w:t xml:space="preserve">Owner of the FTC notice</w:t>
            </w:r>
          </w:p>
        </w:tc>
        <w:tc>
          <w:tcPr/>
          <w:p>
            <w:pPr>
              <w:pStyle w:val="Compact"/>
            </w:pPr>
          </w:p>
        </w:tc>
      </w:tr>
      <w:tr>
        <w:tc>
          <w:tcPr/>
          <w:p>
            <w:pPr>
              <w:pStyle w:val="Compact"/>
            </w:pPr>
            <w:r>
              <w:t xml:space="preserve">Last tabletop exercise</w:t>
            </w:r>
          </w:p>
        </w:tc>
        <w:tc>
          <w:tcPr/>
          <w:p>
            <w:pPr>
              <w:pStyle w:val="Compact"/>
            </w:pPr>
          </w:p>
        </w:tc>
      </w:tr>
    </w:tbl>
    <w:bookmarkEnd w:id="20"/>
    <w:bookmarkStart w:id="21" w:name="X72f3b64ba1ea333378deb9dc20bae4ae58793cf"/>
    <w:p>
      <w:pPr>
        <w:pStyle w:val="Heading2"/>
      </w:pPr>
      <w:r>
        <w:t xml:space="preserve">13. Annual report and program review (314.4(g), (i))</w:t>
      </w:r>
    </w:p>
    <w:p>
      <w:pPr>
        <w:pStyle w:val="FirstParagraph"/>
      </w:pPr>
      <w:r>
        <w:t xml:space="preserve">At least annually the Qualified Individual reports in writing to the board, or to a senior officer if there is no board: overall status and compliance, and material matters such as risk decisions, service providers, test results, security events and recommended changes. Adjust the program after testing, material changes and new risk assessments.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Who receives the report</w:t>
            </w:r>
          </w:p>
        </w:tc>
        <w:tc>
          <w:tcPr/>
          <w:p>
            <w:pPr>
              <w:pStyle w:val="Compact"/>
            </w:pPr>
          </w:p>
        </w:tc>
      </w:tr>
      <w:tr>
        <w:tc>
          <w:tcPr/>
          <w:p>
            <w:pPr>
              <w:pStyle w:val="Compact"/>
            </w:pPr>
            <w:r>
              <w:t xml:space="preserve">Last report date</w:t>
            </w:r>
          </w:p>
        </w:tc>
        <w:tc>
          <w:tcPr/>
          <w:p>
            <w:pPr>
              <w:pStyle w:val="Compact"/>
            </w:pPr>
          </w:p>
        </w:tc>
      </w:tr>
      <w:tr>
        <w:tc>
          <w:tcPr/>
          <w:p>
            <w:pPr>
              <w:pStyle w:val="Compact"/>
            </w:pPr>
            <w:r>
              <w:t xml:space="preserve">Changes made this year</w:t>
            </w:r>
          </w:p>
        </w:tc>
        <w:tc>
          <w:tcPr/>
          <w:p>
            <w:pPr>
              <w:pStyle w:val="Compact"/>
            </w:pPr>
          </w:p>
        </w:tc>
      </w:tr>
      <w:tr>
        <w:tc>
          <w:tcPr/>
          <w:p>
            <w:pPr>
              <w:pStyle w:val="Compact"/>
            </w:pPr>
            <w:r>
              <w:t xml:space="preserve">Next review date</w:t>
            </w:r>
          </w:p>
        </w:tc>
        <w:tc>
          <w:tcPr/>
          <w:p>
            <w:pPr>
              <w:pStyle w:val="Compact"/>
            </w:pPr>
          </w:p>
        </w:tc>
      </w:tr>
    </w:tbl>
    <w:bookmarkEnd w:id="21"/>
    <w:bookmarkStart w:id="22" w:name="parts-index"/>
    <w:p>
      <w:pPr>
        <w:pStyle w:val="Heading2"/>
      </w:pPr>
      <w:r>
        <w:t xml:space="preserve">Parts index</w:t>
      </w:r>
    </w:p>
    <w:p>
      <w:pPr>
        <w:pStyle w:val="FirstParagraph"/>
      </w:pPr>
      <w:r>
        <w:t xml:space="preserve">The separate parts filed behind this cover document.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Part</w:t>
            </w:r>
          </w:p>
        </w:tc>
        <w:tc>
          <w:tcPr/>
          <w:p>
            <w:pPr>
              <w:pStyle w:val="Compact"/>
            </w:pPr>
            <w:r>
              <w:t xml:space="preserve">Rule</w:t>
            </w:r>
          </w:p>
        </w:tc>
        <w:tc>
          <w:tcPr/>
          <w:p>
            <w:pPr>
              <w:pStyle w:val="Compact"/>
            </w:pPr>
            <w:r>
              <w:t xml:space="preserve">Where it is kept</w:t>
            </w:r>
          </w:p>
        </w:tc>
        <w:tc>
          <w:tcPr/>
          <w:p>
            <w:pPr>
              <w:pStyle w:val="Compact"/>
            </w:pPr>
            <w:r>
              <w:t xml:space="preserve">Owner</w:t>
            </w:r>
          </w:p>
        </w:tc>
        <w:tc>
          <w:tcPr/>
          <w:p>
            <w:pPr>
              <w:pStyle w:val="Compact"/>
            </w:pPr>
            <w:r>
              <w:t xml:space="preserve">Last updated</w:t>
            </w:r>
          </w:p>
        </w:tc>
      </w:tr>
      <w:tr>
        <w:tc>
          <w:tcPr/>
          <w:p>
            <w:pPr>
              <w:pStyle w:val="Compact"/>
            </w:pPr>
            <w:r>
              <w:t xml:space="preserve">Risk assessment</w:t>
            </w:r>
          </w:p>
        </w:tc>
        <w:tc>
          <w:tcPr/>
          <w:p>
            <w:pPr>
              <w:pStyle w:val="Compact"/>
            </w:pPr>
            <w:r>
              <w:t xml:space="preserve">314.4(b)</w:t>
            </w:r>
          </w:p>
        </w:tc>
        <w:tc>
          <w:tcPr/>
          <w:p>
            <w:pPr>
              <w:pStyle w:val="Compact"/>
            </w:pPr>
          </w:p>
        </w:tc>
        <w:tc>
          <w:tcPr/>
          <w:p>
            <w:pPr>
              <w:pStyle w:val="Compact"/>
            </w:pPr>
          </w:p>
        </w:tc>
        <w:tc>
          <w:tcPr/>
          <w:p>
            <w:pPr>
              <w:pStyle w:val="Compact"/>
            </w:pPr>
          </w:p>
        </w:tc>
      </w:tr>
      <w:tr>
        <w:tc>
          <w:tcPr/>
          <w:p>
            <w:pPr>
              <w:pStyle w:val="Compact"/>
            </w:pPr>
            <w:r>
              <w:t xml:space="preserve">Inventory of data, devices and systems</w:t>
            </w:r>
          </w:p>
        </w:tc>
        <w:tc>
          <w:tcPr/>
          <w:p>
            <w:pPr>
              <w:pStyle w:val="Compact"/>
            </w:pPr>
            <w:r>
              <w:t xml:space="preserve">314.4(c)(2)</w:t>
            </w:r>
          </w:p>
        </w:tc>
        <w:tc>
          <w:tcPr/>
          <w:p>
            <w:pPr>
              <w:pStyle w:val="Compact"/>
            </w:pPr>
          </w:p>
        </w:tc>
        <w:tc>
          <w:tcPr/>
          <w:p>
            <w:pPr>
              <w:pStyle w:val="Compact"/>
            </w:pPr>
          </w:p>
        </w:tc>
        <w:tc>
          <w:tcPr/>
          <w:p>
            <w:pPr>
              <w:pStyle w:val="Compact"/>
            </w:pPr>
          </w:p>
        </w:tc>
      </w:tr>
      <w:tr>
        <w:tc>
          <w:tcPr/>
          <w:p>
            <w:pPr>
              <w:pStyle w:val="Compact"/>
            </w:pPr>
            <w:r>
              <w:t xml:space="preserve">Access and MFA standard</w:t>
            </w:r>
          </w:p>
        </w:tc>
        <w:tc>
          <w:tcPr/>
          <w:p>
            <w:pPr>
              <w:pStyle w:val="Compact"/>
            </w:pPr>
            <w:r>
              <w:t xml:space="preserve">314.4(c)(1), (c)(5)</w:t>
            </w:r>
          </w:p>
        </w:tc>
        <w:tc>
          <w:tcPr/>
          <w:p>
            <w:pPr>
              <w:pStyle w:val="Compact"/>
            </w:pPr>
          </w:p>
        </w:tc>
        <w:tc>
          <w:tcPr/>
          <w:p>
            <w:pPr>
              <w:pStyle w:val="Compact"/>
            </w:pPr>
          </w:p>
        </w:tc>
        <w:tc>
          <w:tcPr/>
          <w:p>
            <w:pPr>
              <w:pStyle w:val="Compact"/>
            </w:pPr>
          </w:p>
        </w:tc>
      </w:tr>
      <w:tr>
        <w:tc>
          <w:tcPr/>
          <w:p>
            <w:pPr>
              <w:pStyle w:val="Compact"/>
            </w:pPr>
            <w:r>
              <w:t xml:space="preserve">Vendor register</w:t>
            </w:r>
          </w:p>
        </w:tc>
        <w:tc>
          <w:tcPr/>
          <w:p>
            <w:pPr>
              <w:pStyle w:val="Compact"/>
            </w:pPr>
            <w:r>
              <w:t xml:space="preserve">314.4(f)</w:t>
            </w:r>
          </w:p>
        </w:tc>
        <w:tc>
          <w:tcPr/>
          <w:p>
            <w:pPr>
              <w:pStyle w:val="Compact"/>
            </w:pPr>
          </w:p>
        </w:tc>
        <w:tc>
          <w:tcPr/>
          <w:p>
            <w:pPr>
              <w:pStyle w:val="Compact"/>
            </w:pPr>
          </w:p>
        </w:tc>
        <w:tc>
          <w:tcPr/>
          <w:p>
            <w:pPr>
              <w:pStyle w:val="Compact"/>
            </w:pPr>
          </w:p>
        </w:tc>
      </w:tr>
      <w:tr>
        <w:tc>
          <w:tcPr/>
          <w:p>
            <w:pPr>
              <w:pStyle w:val="Compact"/>
            </w:pPr>
            <w:r>
              <w:t xml:space="preserve">Testing reports</w:t>
            </w:r>
          </w:p>
        </w:tc>
        <w:tc>
          <w:tcPr/>
          <w:p>
            <w:pPr>
              <w:pStyle w:val="Compact"/>
            </w:pPr>
            <w:r>
              <w:t xml:space="preserve">314.4(d)</w:t>
            </w:r>
          </w:p>
        </w:tc>
        <w:tc>
          <w:tcPr/>
          <w:p>
            <w:pPr>
              <w:pStyle w:val="Compact"/>
            </w:pPr>
          </w:p>
        </w:tc>
        <w:tc>
          <w:tcPr/>
          <w:p>
            <w:pPr>
              <w:pStyle w:val="Compact"/>
            </w:pPr>
          </w:p>
        </w:tc>
        <w:tc>
          <w:tcPr/>
          <w:p>
            <w:pPr>
              <w:pStyle w:val="Compact"/>
            </w:pPr>
          </w:p>
        </w:tc>
      </w:tr>
      <w:tr>
        <w:tc>
          <w:tcPr/>
          <w:p>
            <w:pPr>
              <w:pStyle w:val="Compact"/>
            </w:pPr>
            <w:r>
              <w:t xml:space="preserve">Training records</w:t>
            </w:r>
          </w:p>
        </w:tc>
        <w:tc>
          <w:tcPr/>
          <w:p>
            <w:pPr>
              <w:pStyle w:val="Compact"/>
            </w:pPr>
            <w:r>
              <w:t xml:space="preserve">314.4(e)</w:t>
            </w:r>
          </w:p>
        </w:tc>
        <w:tc>
          <w:tcPr/>
          <w:p>
            <w:pPr>
              <w:pStyle w:val="Compact"/>
            </w:pPr>
          </w:p>
        </w:tc>
        <w:tc>
          <w:tcPr/>
          <w:p>
            <w:pPr>
              <w:pStyle w:val="Compact"/>
            </w:pPr>
          </w:p>
        </w:tc>
        <w:tc>
          <w:tcPr/>
          <w:p>
            <w:pPr>
              <w:pStyle w:val="Compact"/>
            </w:pPr>
          </w:p>
        </w:tc>
      </w:tr>
      <w:tr>
        <w:tc>
          <w:tcPr/>
          <w:p>
            <w:pPr>
              <w:pStyle w:val="Compact"/>
            </w:pPr>
            <w:r>
              <w:t xml:space="preserve">Incident response plan</w:t>
            </w:r>
          </w:p>
        </w:tc>
        <w:tc>
          <w:tcPr/>
          <w:p>
            <w:pPr>
              <w:pStyle w:val="Compact"/>
            </w:pPr>
            <w:r>
              <w:t xml:space="preserve">314.4(h)</w:t>
            </w:r>
          </w:p>
        </w:tc>
        <w:tc>
          <w:tcPr/>
          <w:p>
            <w:pPr>
              <w:pStyle w:val="Compact"/>
            </w:pPr>
          </w:p>
        </w:tc>
        <w:tc>
          <w:tcPr/>
          <w:p>
            <w:pPr>
              <w:pStyle w:val="Compact"/>
            </w:pPr>
          </w:p>
        </w:tc>
        <w:tc>
          <w:tcPr/>
          <w:p>
            <w:pPr>
              <w:pStyle w:val="Compact"/>
            </w:pPr>
          </w:p>
        </w:tc>
      </w:tr>
      <w:tr>
        <w:tc>
          <w:tcPr/>
          <w:p>
            <w:pPr>
              <w:pStyle w:val="Compact"/>
            </w:pPr>
            <w:r>
              <w:t xml:space="preserve">Annual report to the board or owner</w:t>
            </w:r>
          </w:p>
        </w:tc>
        <w:tc>
          <w:tcPr/>
          <w:p>
            <w:pPr>
              <w:pStyle w:val="Compact"/>
            </w:pPr>
            <w:r>
              <w:t xml:space="preserve">314.4(i)</w:t>
            </w:r>
          </w:p>
        </w:tc>
        <w:tc>
          <w:tcPr/>
          <w:p>
            <w:pPr>
              <w:pStyle w:val="Compact"/>
            </w:pPr>
          </w:p>
        </w:tc>
        <w:tc>
          <w:tcPr/>
          <w:p>
            <w:pPr>
              <w:pStyle w:val="Compact"/>
            </w:pPr>
          </w:p>
        </w:tc>
        <w:tc>
          <w:tcPr/>
          <w:p>
            <w:pPr>
              <w:pStyle w:val="Compact"/>
            </w:pPr>
          </w:p>
        </w:tc>
      </w:tr>
      <w:tr>
        <w:tc>
          <w:tcPr/>
          <w:p>
            <w:pPr>
              <w:pStyle w:val="Compact"/>
            </w:pPr>
            <w:r>
              <w:t xml:space="preserve">Other policies</w:t>
            </w:r>
          </w:p>
        </w:tc>
        <w:tc>
          <w:tcPr/>
          <w:p>
            <w:pPr>
              <w:pStyle w:val="Compact"/>
            </w:pPr>
          </w:p>
        </w:tc>
        <w:tc>
          <w:tcPr/>
          <w:p>
            <w:pPr>
              <w:pStyle w:val="Compact"/>
            </w:pPr>
          </w:p>
        </w:tc>
        <w:tc>
          <w:tcPr/>
          <w:p>
            <w:pPr>
              <w:pStyle w:val="Compact"/>
            </w:pPr>
          </w:p>
        </w:tc>
        <w:tc>
          <w:tcPr/>
          <w:p>
            <w:pPr>
              <w:pStyle w:val="Compact"/>
            </w:pPr>
          </w:p>
        </w:tc>
      </w:tr>
    </w:tbl>
    <w:bookmarkEnd w:id="22"/>
    <w:bookmarkStart w:id="23" w:name="sign-off"/>
    <w:p>
      <w:pPr>
        <w:pStyle w:val="Heading2"/>
      </w:pPr>
      <w:r>
        <w:t xml:space="preserve">Sign-off</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Signed by</w:t>
            </w:r>
          </w:p>
        </w:tc>
        <w:tc>
          <w:tcPr/>
          <w:p>
            <w:pPr>
              <w:pStyle w:val="Compact"/>
            </w:pPr>
            <w:r>
              <w:t xml:space="preserve">Signature and date</w:t>
            </w:r>
          </w:p>
        </w:tc>
      </w:tr>
      <w:tr>
        <w:tc>
          <w:tcPr/>
          <w:p>
            <w:pPr>
              <w:pStyle w:val="Compact"/>
            </w:pPr>
            <w:r>
              <w:t xml:space="preserve">Qualified Individual, signature and date</w:t>
            </w:r>
          </w:p>
        </w:tc>
        <w:tc>
          <w:tcPr/>
          <w:p>
            <w:pPr>
              <w:pStyle w:val="Compact"/>
            </w:pPr>
          </w:p>
        </w:tc>
      </w:tr>
      <w:tr>
        <w:tc>
          <w:tcPr/>
          <w:p>
            <w:pPr>
              <w:pStyle w:val="Compact"/>
            </w:pPr>
            <w:r>
              <w:t xml:space="preserve">Owner or general manager, signature and date</w:t>
            </w:r>
          </w:p>
        </w:tc>
        <w:tc>
          <w:tcPr/>
          <w:p>
            <w:pPr>
              <w:pStyle w:val="Compact"/>
            </w:pPr>
          </w:p>
        </w:tc>
      </w:tr>
    </w:tbl>
    <w:p>
      <w:pPr>
        <w:pStyle w:val="BodyText"/>
      </w:pPr>
      <w:r>
        <w:rPr>
          <w:b/>
          <w:bCs/>
        </w:rPr>
        <w:t xml:space="preserve">Want a second set of eyes on your WISP?</w:t>
      </w:r>
      <w:r>
        <w:t xml:space="preserve"> </w:t>
      </w:r>
      <w:r>
        <w:t xml:space="preserve">Bring it to a complimentary IT and cybersecurity assessment. https://heliontechnologies.com/it-assessment/</w:t>
      </w:r>
    </w:p>
    <w:p>
      <w:pPr>
        <w:pStyle w:val="BodyText"/>
      </w:pPr>
      <w:r>
        <w:t xml:space="preserve">Based on 16 CFR Part 314, Standards for Safeguarding Customer Information, as of October 2026. Dealerships with customer information on fewer than 5,000 consumers are exempt from 314.4(b)(1), (d)(2), (h) and (i) under 314.6, but the program itself must still be written. This template is a planning aid, not legal advice. © 2026 Helion Technologies. https://heliontechnologies.com/wisp-template-for-dealerships/</w:t>
      </w:r>
    </w:p>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sz w:val="24"/>
        <w:szCs w:val="24"/>
        <w:lang w:bidi="ar-SA" w:eastAsia="Arial"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sz w:val="56"/>
      <w:szCs w:val="56"/>
    </w:rPr>
  </w:style>
  <w:style w:customStyle="1" w:styleId="TitleChar" w:type="character">
    <w:name w:val="Title Char"/>
    <w:basedOn w:val="DefaultParagraphFont"/>
    <w:link w:val="Title"/>
    <w:uiPriority w:val="10"/>
    <w:rsid w:val="00A10FD9"/>
    <w:rPr>
      <w:rFonts/>
      <w:sz w:val="56"/>
      <w:szCs w:val="56"/>
    </w:rPr>
  </w:style>
  <w:style w:styleId="Subtitle" w:type="paragraph">
    <w:name w:val="Subtitle"/>
    <w:basedOn w:val="Title"/>
    <w:next w:val="BodyText"/>
    <w:link w:val="SubtitleChar"/>
    <w:uiPriority w:val="11"/>
    <w:qFormat/>
    <w:rsid w:val="00A10FD9"/>
    <w:pPr>
      <w:numPr>
        <w:ilvl w:val="1"/>
      </w:numPr>
    </w:pPr>
    <w:rPr>
      <w:rFonts/>
      <w:spacing w:val="15"/>
      <w:sz w:val="28"/>
      <w:szCs w:val="28"/>
    </w:rPr>
  </w:style>
  <w:style w:customStyle="1" w:styleId="SubtitleChar" w:type="character">
    <w:name w:val="Subtitle Char"/>
    <w:basedOn w:val="DefaultParagraphFont"/>
    <w:link w:val="Subtitle"/>
    <w:uiPriority w:val="11"/>
    <w:rsid w:val="00A10FD9"/>
    <w:rPr>
      <w:rFonts/>
      <w:color w:themeColor="text1" w:themeTint="A6" w:val="1F1E1C"/>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color w:themeColor="accent1" w:themeShade="BF" w:val="1F1E1C"/>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color w:themeColor="accent1" w:themeShade="BF" w:val="E8740C"/>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olor w:themeColor="accent1" w:themeShade="BF" w:val="1F1E1C"/>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i/>
      <w:iCs/>
      <w:color w:themeColor="accent1" w:themeShade="BF" w:val="1F1E1C"/>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olor w:themeColor="accent1" w:themeShade="BF" w:val="1F1E1C"/>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i/>
      <w:iCs/>
      <w:color w:themeColor="text1" w:themeTint="A6" w:val="1F1E1C"/>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olor w:themeColor="text1" w:themeTint="A6" w:val="1F1E1C"/>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i/>
      <w:iCs/>
      <w:color w:themeColor="text1" w:themeTint="D8" w:val="1F1E1C"/>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olor w:themeColor="text1" w:themeTint="D8" w:val="1F1E1C"/>
    </w:rPr>
  </w:style>
  <w:style w:customStyle="1" w:styleId="Heading1Char" w:type="character">
    <w:name w:val="Heading 1 Char"/>
    <w:basedOn w:val="DefaultParagraphFont"/>
    <w:link w:val="Heading1"/>
    <w:uiPriority w:val="9"/>
    <w:rsid w:val="00A10FD9"/>
    <w:rPr>
      <w:rFonts/>
      <w:color w:themeColor="accent1" w:themeShade="BF" w:val="1F1E1C"/>
      <w:sz w:val="40"/>
      <w:szCs w:val="40"/>
    </w:rPr>
  </w:style>
  <w:style w:customStyle="1" w:styleId="Heading2Char" w:type="character">
    <w:name w:val="Heading 2 Char"/>
    <w:basedOn w:val="DefaultParagraphFont"/>
    <w:link w:val="Heading2"/>
    <w:uiPriority w:val="9"/>
    <w:semiHidden/>
    <w:rsid w:val="00A10FD9"/>
    <w:rPr>
      <w:rFonts/>
      <w:color w:themeColor="accent1" w:themeShade="BF" w:val="1F1E1C"/>
      <w:sz w:val="32"/>
      <w:szCs w:val="32"/>
    </w:rPr>
  </w:style>
  <w:style w:customStyle="1" w:styleId="Heading3Char" w:type="character">
    <w:name w:val="Heading 3 Char"/>
    <w:basedOn w:val="DefaultParagraphFont"/>
    <w:link w:val="Heading3"/>
    <w:uiPriority w:val="9"/>
    <w:semiHidden/>
    <w:rsid w:val="00A10FD9"/>
    <w:rPr>
      <w:rFonts/>
      <w:color w:themeColor="accent1" w:themeShade="BF" w:val="1F1E1C"/>
      <w:sz w:val="28"/>
      <w:szCs w:val="28"/>
    </w:rPr>
  </w:style>
  <w:style w:customStyle="1" w:styleId="Heading4Char" w:type="character">
    <w:name w:val="Heading 4 Char"/>
    <w:basedOn w:val="DefaultParagraphFont"/>
    <w:link w:val="Heading4"/>
    <w:uiPriority w:val="9"/>
    <w:semiHidden/>
    <w:rsid w:val="00A10FD9"/>
    <w:rPr>
      <w:rFonts/>
      <w:i/>
      <w:iCs/>
      <w:color w:themeColor="accent1" w:themeShade="BF" w:val="1F1E1C"/>
    </w:rPr>
  </w:style>
  <w:style w:customStyle="1" w:styleId="Heading5Char" w:type="character">
    <w:name w:val="Heading 5 Char"/>
    <w:basedOn w:val="DefaultParagraphFont"/>
    <w:link w:val="Heading5"/>
    <w:uiPriority w:val="9"/>
    <w:semiHidden/>
    <w:rsid w:val="00A10FD9"/>
    <w:rPr>
      <w:rFonts/>
      <w:color w:themeColor="accent1" w:themeShade="BF" w:val="1F1E1C"/>
    </w:rPr>
  </w:style>
  <w:style w:customStyle="1" w:styleId="Heading6Char" w:type="character">
    <w:name w:val="Heading 6 Char"/>
    <w:basedOn w:val="DefaultParagraphFont"/>
    <w:link w:val="Heading6"/>
    <w:uiPriority w:val="9"/>
    <w:semiHidden/>
    <w:rsid w:val="00A10FD9"/>
    <w:rPr>
      <w:rFonts/>
      <w:i/>
      <w:iCs/>
      <w:color w:themeColor="text1" w:themeTint="A6" w:val="1F1E1C"/>
    </w:rPr>
  </w:style>
  <w:style w:customStyle="1" w:styleId="Heading7Char" w:type="character">
    <w:name w:val="Heading 7 Char"/>
    <w:basedOn w:val="DefaultParagraphFont"/>
    <w:link w:val="Heading7"/>
    <w:uiPriority w:val="9"/>
    <w:semiHidden/>
    <w:rsid w:val="00A10FD9"/>
    <w:rPr>
      <w:rFonts/>
      <w:color w:themeColor="text1" w:themeTint="A6" w:val="1F1E1C"/>
    </w:rPr>
  </w:style>
  <w:style w:customStyle="1" w:styleId="Heading8Char" w:type="character">
    <w:name w:val="Heading 8 Char"/>
    <w:basedOn w:val="DefaultParagraphFont"/>
    <w:link w:val="Heading8"/>
    <w:uiPriority w:val="9"/>
    <w:semiHidden/>
    <w:rsid w:val="00A10FD9"/>
    <w:rPr>
      <w:rFonts/>
      <w:i/>
      <w:iCs/>
      <w:color w:themeColor="text1" w:themeTint="D8" w:val="1F1E1C"/>
    </w:rPr>
  </w:style>
  <w:style w:customStyle="1" w:styleId="Heading9Char" w:type="character">
    <w:name w:val="Heading 9 Char"/>
    <w:basedOn w:val="DefaultParagraphFont"/>
    <w:link w:val="Heading9"/>
    <w:uiPriority w:val="9"/>
    <w:semiHidden/>
    <w:rsid w:val="00A10FD9"/>
    <w:rPr>
      <w:rFonts/>
      <w:color w:themeColor="text1" w:themeTint="D8" w:val="1F1E1C"/>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BDB6A8" w:space="0" w:sz="4" w:val="single"/>
        <w:left w:color="BDB6A8" w:space="0" w:sz="4" w:val="single"/>
        <w:bottom w:color="BDB6A8" w:space="0" w:sz="4" w:val="single"/>
        <w:right w:color="BDB6A8" w:space="0" w:sz="4" w:val="single"/>
        <w:insideH w:color="BDB6A8" w:space="0" w:sz="4" w:val="single"/>
        <w:insideV w:color="BDB6A8" w:space="0" w:sz="4" w:val="single"/>
      </w:tblBorders>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w:hAnsi="Arial"/>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1F1E1C"/>
    </w:rPr>
  </w:style>
  <w:style w:styleId="TOCHeading" w:type="paragraph">
    <w:name w:val="TOC Heading"/>
    <w:basedOn w:val="Heading1"/>
    <w:next w:val="BodyText"/>
    <w:uiPriority w:val="39"/>
    <w:unhideWhenUsed/>
    <w:qFormat/>
    <w:pPr>
      <w:spacing w:before="240" w:line="259" w:lineRule="auto"/>
      <w:outlineLvl w:val="9"/>
    </w:pPr>
    <w:rPr>
      <w:rFonts/>
      <w:b w:val="0"/>
      <w:bCs w:val="0"/>
      <w:color w:themeColor="accent1" w:themeShade="BF" w:val="1F1E1C"/>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Information Security Program (WISP)</dc:title>
  <dc:creator>Helion Technologies</dc:creator>
  <cp:keywords/>
  <dcterms:created xsi:type="dcterms:W3CDTF">2026-10-21T13:23:37Z</dcterms:created>
  <dcterms:modified xsi:type="dcterms:W3CDTF">2026-10-21T13:23:37Z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Dealership WISP template, covering what the FTC Safeguards Rule asks for in 16 CFR 314.3 and 314.4</vt:lpwstr>
  </property>
</Properties>
</file>