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Risk Assessment</w:t>
      </w:r>
    </w:p>
    <w:p>
      <w:pPr>
        <w:pStyle w:val="Subtitle"/>
      </w:pPr>
      <w:r>
        <w:t xml:space="preserve">Dealership risk assessment template, covering what the FTC Safeguards Rule asks for in 16 CFR 314.4(b)</w:t>
      </w:r>
    </w:p>
    <w:p>
      <w:pPr>
        <w:pStyle w:val="Author"/>
      </w:pPr>
      <w:r>
        <w:t xml:space="preserve">Helion Technologies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Assessment details</w:t>
            </w:r>
          </w:p>
        </w:tc>
        <w:tc>
          <w:tcPr/>
          <w:p>
            <w:pPr>
              <w:pStyle w:val="Compact"/>
            </w:pPr>
            <w:r>
              <w:t xml:space="preserve">Fill in</w:t>
            </w:r>
          </w:p>
        </w:tc>
      </w:tr>
      <w:tr>
        <w:tc>
          <w:tcPr/>
          <w:p>
            <w:pPr>
              <w:pStyle w:val="Compact"/>
            </w:pPr>
            <w:r>
              <w:t xml:space="preserve">Dealership and rooftops covered</w:t>
            </w:r>
          </w:p>
        </w:tc>
        <w:tc>
          <w:tcPr/>
          <w:p>
            <w:pPr>
              <w:pStyle w:val="Compact"/>
            </w:pPr>
          </w:p>
        </w:tc>
      </w:tr>
      <w:tr>
        <w:tc>
          <w:tcPr/>
          <w:p>
            <w:pPr>
              <w:pStyle w:val="Compact"/>
            </w:pPr>
            <w:r>
              <w:t xml:space="preserve">Owner (Qualified Individual)</w:t>
            </w:r>
          </w:p>
        </w:tc>
        <w:tc>
          <w:tcPr/>
          <w:p>
            <w:pPr>
              <w:pStyle w:val="Compact"/>
            </w:pPr>
          </w:p>
        </w:tc>
      </w:tr>
      <w:tr>
        <w:tc>
          <w:tcPr/>
          <w:p>
            <w:pPr>
              <w:pStyle w:val="Compact"/>
            </w:pPr>
            <w:r>
              <w:t xml:space="preserve">People who took part</w:t>
            </w:r>
          </w:p>
        </w:tc>
        <w:tc>
          <w:tcPr/>
          <w:p>
            <w:pPr>
              <w:pStyle w:val="Compact"/>
            </w:pPr>
          </w:p>
        </w:tc>
      </w:tr>
      <w:tr>
        <w:tc>
          <w:tcPr/>
          <w:p>
            <w:pPr>
              <w:pStyle w:val="Compact"/>
            </w:pPr>
            <w:r>
              <w:t xml:space="preserve">Assessment date</w:t>
            </w:r>
          </w:p>
        </w:tc>
        <w:tc>
          <w:tcPr/>
          <w:p>
            <w:pPr>
              <w:pStyle w:val="Compact"/>
            </w:pPr>
          </w:p>
        </w:tc>
      </w:tr>
      <w:tr>
        <w:tc>
          <w:tcPr/>
          <w:p>
            <w:pPr>
              <w:pStyle w:val="Compact"/>
            </w:pPr>
            <w:r>
              <w:t xml:space="preserve">Next assessment due</w:t>
            </w:r>
          </w:p>
        </w:tc>
        <w:tc>
          <w:tcPr/>
          <w:p>
            <w:pPr>
              <w:pStyle w:val="Compact"/>
            </w:pPr>
          </w:p>
        </w:tc>
      </w:tr>
    </w:tbl>
    <w:p>
      <w:pPr>
        <w:pStyle w:val="BodyText"/>
      </w:pPr>
      <w:r>
        <w:rPr>
          <w:b/>
          <w:bCs/>
        </w:rPr>
        <w:t xml:space="preserve">How to use it.</w:t>
      </w:r>
      <w:r>
        <w:t xml:space="preserve"> </w:t>
      </w:r>
      <w:r>
        <w:t xml:space="preserve">Fill it in at one sitting with your general manager, controller, F&amp;I director, service director and IT. Walk the building before you score anything. Score each risk with the grid in section 4, list it in the register in section 6, sort by score, and put a name and a date, or a signature, on every row. Date it and keep every version.</w:t>
      </w:r>
    </w:p>
    <w:bookmarkStart w:id="9" w:name="scope-and-owner-314.4b-b1"/>
    <w:p>
      <w:pPr>
        <w:pStyle w:val="Heading2"/>
      </w:pPr>
      <w:r>
        <w:t xml:space="preserve">1. Scope and owner (314.4(b), (b)(1))</w:t>
      </w:r>
    </w:p>
    <w:p>
      <w:pPr>
        <w:pStyle w:val="FirstParagraph"/>
      </w:pPr>
      <w:r>
        <w:t xml:space="preserve">Which stores, departments, systems, paper files and vendors this assessment covers, and who owns it. The Qualified Individual oversees the information security program.</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Stores and departments covered</w:t>
            </w:r>
          </w:p>
        </w:tc>
        <w:tc>
          <w:tcPr/>
          <w:p>
            <w:pPr>
              <w:pStyle w:val="Compact"/>
            </w:pPr>
          </w:p>
        </w:tc>
      </w:tr>
      <w:tr>
        <w:tc>
          <w:tcPr/>
          <w:p>
            <w:pPr>
              <w:pStyle w:val="Compact"/>
            </w:pPr>
            <w:r>
              <w:t xml:space="preserve">Systems, paper and vendors in scope</w:t>
            </w:r>
          </w:p>
        </w:tc>
        <w:tc>
          <w:tcPr/>
          <w:p>
            <w:pPr>
              <w:pStyle w:val="Compact"/>
            </w:pPr>
          </w:p>
        </w:tc>
      </w:tr>
      <w:tr>
        <w:tc>
          <w:tcPr/>
          <w:p>
            <w:pPr>
              <w:pStyle w:val="Compact"/>
            </w:pPr>
            <w:r>
              <w:t xml:space="preserve">Owner (Qualified Individual)</w:t>
            </w:r>
          </w:p>
        </w:tc>
        <w:tc>
          <w:tcPr/>
          <w:p>
            <w:pPr>
              <w:pStyle w:val="Compact"/>
            </w:pPr>
          </w:p>
        </w:tc>
      </w:tr>
      <w:tr>
        <w:tc>
          <w:tcPr/>
          <w:p>
            <w:pPr>
              <w:pStyle w:val="Compact"/>
            </w:pPr>
            <w:r>
              <w:t xml:space="preserve">Approved by (owner or general manager)</w:t>
            </w:r>
          </w:p>
        </w:tc>
        <w:tc>
          <w:tcPr/>
          <w:p>
            <w:pPr>
              <w:pStyle w:val="Compact"/>
            </w:pPr>
          </w:p>
        </w:tc>
      </w:tr>
    </w:tbl>
    <w:bookmarkEnd w:id="9"/>
    <w:bookmarkStart w:id="10" w:name="X01164068a3fa0eb3e2397ba81f801c89b1fc0d9"/>
    <w:p>
      <w:pPr>
        <w:pStyle w:val="Heading2"/>
      </w:pPr>
      <w:r>
        <w:t xml:space="preserve">2. Where customer information lives (314.4(b), (c)(2))</w:t>
      </w:r>
    </w:p>
    <w:p>
      <w:pPr>
        <w:pStyle w:val="FirstParagraph"/>
      </w:pPr>
      <w:r>
        <w:t xml:space="preserve">Every system or place that holds customer information, or can reach it. Walk the building. Include paper and the phone system if it records calls.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System or place</w:t>
            </w:r>
          </w:p>
        </w:tc>
        <w:tc>
          <w:tcPr/>
          <w:p>
            <w:pPr>
              <w:pStyle w:val="Compact"/>
            </w:pPr>
            <w:r>
              <w:t xml:space="preserve">Customer information it holds</w:t>
            </w:r>
          </w:p>
        </w:tc>
        <w:tc>
          <w:tcPr/>
          <w:p>
            <w:pPr>
              <w:pStyle w:val="Compact"/>
            </w:pPr>
            <w:r>
              <w:t xml:space="preserve">Who can get in</w:t>
            </w:r>
          </w:p>
        </w:tc>
        <w:tc>
          <w:tcPr/>
          <w:p>
            <w:pPr>
              <w:pStyle w:val="Compact"/>
            </w:pPr>
            <w:r>
              <w:t xml:space="preserve">Vendor</w:t>
            </w:r>
          </w:p>
        </w:tc>
      </w:tr>
      <w:tr>
        <w:tc>
          <w:tcPr/>
          <w:p>
            <w:pPr>
              <w:pStyle w:val="Compact"/>
            </w:pPr>
            <w:r>
              <w:t xml:space="preserve">DMS</w:t>
            </w:r>
          </w:p>
        </w:tc>
        <w:tc>
          <w:tcPr/>
          <w:p>
            <w:pPr>
              <w:pStyle w:val="Compact"/>
            </w:pPr>
          </w:p>
        </w:tc>
        <w:tc>
          <w:tcPr/>
          <w:p>
            <w:pPr>
              <w:pStyle w:val="Compact"/>
            </w:pPr>
          </w:p>
        </w:tc>
        <w:tc>
          <w:tcPr/>
          <w:p>
            <w:pPr>
              <w:pStyle w:val="Compact"/>
            </w:pPr>
          </w:p>
        </w:tc>
      </w:tr>
      <w:tr>
        <w:tc>
          <w:tcPr/>
          <w:p>
            <w:pPr>
              <w:pStyle w:val="Compact"/>
            </w:pPr>
            <w:r>
              <w:t xml:space="preserve">CRM and BDC tools</w:t>
            </w:r>
          </w:p>
        </w:tc>
        <w:tc>
          <w:tcPr/>
          <w:p>
            <w:pPr>
              <w:pStyle w:val="Compact"/>
            </w:pPr>
          </w:p>
        </w:tc>
        <w:tc>
          <w:tcPr/>
          <w:p>
            <w:pPr>
              <w:pStyle w:val="Compact"/>
            </w:pPr>
          </w:p>
        </w:tc>
        <w:tc>
          <w:tcPr/>
          <w:p>
            <w:pPr>
              <w:pStyle w:val="Compact"/>
            </w:pPr>
          </w:p>
        </w:tc>
      </w:tr>
      <w:tr>
        <w:tc>
          <w:tcPr/>
          <w:p>
            <w:pPr>
              <w:pStyle w:val="Compact"/>
            </w:pPr>
            <w:r>
              <w:t xml:space="preserve">F&amp;I menu and e-contracting</w:t>
            </w:r>
          </w:p>
        </w:tc>
        <w:tc>
          <w:tcPr/>
          <w:p>
            <w:pPr>
              <w:pStyle w:val="Compact"/>
            </w:pPr>
          </w:p>
        </w:tc>
        <w:tc>
          <w:tcPr/>
          <w:p>
            <w:pPr>
              <w:pStyle w:val="Compact"/>
            </w:pPr>
          </w:p>
        </w:tc>
        <w:tc>
          <w:tcPr/>
          <w:p>
            <w:pPr>
              <w:pStyle w:val="Compact"/>
            </w:pPr>
          </w:p>
        </w:tc>
      </w:tr>
      <w:tr>
        <w:tc>
          <w:tcPr/>
          <w:p>
            <w:pPr>
              <w:pStyle w:val="Compact"/>
            </w:pPr>
            <w:r>
              <w:t xml:space="preserve">Credit bureau and lender portals</w:t>
            </w:r>
          </w:p>
        </w:tc>
        <w:tc>
          <w:tcPr/>
          <w:p>
            <w:pPr>
              <w:pStyle w:val="Compact"/>
            </w:pPr>
          </w:p>
        </w:tc>
        <w:tc>
          <w:tcPr/>
          <w:p>
            <w:pPr>
              <w:pStyle w:val="Compact"/>
            </w:pPr>
          </w:p>
        </w:tc>
        <w:tc>
          <w:tcPr/>
          <w:p>
            <w:pPr>
              <w:pStyle w:val="Compact"/>
            </w:pPr>
          </w:p>
        </w:tc>
      </w:tr>
      <w:tr>
        <w:tc>
          <w:tcPr/>
          <w:p>
            <w:pPr>
              <w:pStyle w:val="Compact"/>
            </w:pPr>
            <w:r>
              <w:t xml:space="preserve">Email and Microsoft 365</w:t>
            </w:r>
          </w:p>
        </w:tc>
        <w:tc>
          <w:tcPr/>
          <w:p>
            <w:pPr>
              <w:pStyle w:val="Compact"/>
            </w:pPr>
          </w:p>
        </w:tc>
        <w:tc>
          <w:tcPr/>
          <w:p>
            <w:pPr>
              <w:pStyle w:val="Compact"/>
            </w:pPr>
          </w:p>
        </w:tc>
        <w:tc>
          <w:tcPr/>
          <w:p>
            <w:pPr>
              <w:pStyle w:val="Compact"/>
            </w:pPr>
          </w:p>
        </w:tc>
      </w:tr>
      <w:tr>
        <w:tc>
          <w:tcPr/>
          <w:p>
            <w:pPr>
              <w:pStyle w:val="Compact"/>
            </w:pPr>
            <w:r>
              <w:t xml:space="preserve">File server and scanned deal jackets</w:t>
            </w:r>
          </w:p>
        </w:tc>
        <w:tc>
          <w:tcPr/>
          <w:p>
            <w:pPr>
              <w:pStyle w:val="Compact"/>
            </w:pPr>
          </w:p>
        </w:tc>
        <w:tc>
          <w:tcPr/>
          <w:p>
            <w:pPr>
              <w:pStyle w:val="Compact"/>
            </w:pPr>
          </w:p>
        </w:tc>
        <w:tc>
          <w:tcPr/>
          <w:p>
            <w:pPr>
              <w:pStyle w:val="Compact"/>
            </w:pPr>
          </w:p>
        </w:tc>
      </w:tr>
      <w:tr>
        <w:tc>
          <w:tcPr/>
          <w:p>
            <w:pPr>
              <w:pStyle w:val="Compact"/>
            </w:pPr>
            <w:r>
              <w:t xml:space="preserve">Paper deal jackets and old deal files</w:t>
            </w:r>
          </w:p>
        </w:tc>
        <w:tc>
          <w:tcPr/>
          <w:p>
            <w:pPr>
              <w:pStyle w:val="Compact"/>
            </w:pPr>
          </w:p>
        </w:tc>
        <w:tc>
          <w:tcPr/>
          <w:p>
            <w:pPr>
              <w:pStyle w:val="Compact"/>
            </w:pPr>
          </w:p>
        </w:tc>
        <w:tc>
          <w:tcPr/>
          <w:p>
            <w:pPr>
              <w:pStyle w:val="Compact"/>
            </w:pPr>
          </w:p>
        </w:tc>
      </w:tr>
      <w:tr>
        <w:tc>
          <w:tcPr/>
          <w:p>
            <w:pPr>
              <w:pStyle w:val="Compact"/>
            </w:pPr>
            <w:r>
              <w:t xml:space="preserve">Backups</w:t>
            </w:r>
          </w:p>
        </w:tc>
        <w:tc>
          <w:tcPr/>
          <w:p>
            <w:pPr>
              <w:pStyle w:val="Compact"/>
            </w:pPr>
          </w:p>
        </w:tc>
        <w:tc>
          <w:tcPr/>
          <w:p>
            <w:pPr>
              <w:pStyle w:val="Compact"/>
            </w:pPr>
          </w:p>
        </w:tc>
        <w:tc>
          <w:tcPr/>
          <w:p>
            <w:pPr>
              <w:pStyle w:val="Compact"/>
            </w:pPr>
          </w:p>
        </w:tc>
      </w:tr>
      <w:tr>
        <w:tc>
          <w:tcPr/>
          <w:p>
            <w:pPr>
              <w:pStyle w:val="Compact"/>
            </w:pPr>
            <w:r>
              <w:t xml:space="preserve">Phone system and call recordings</w:t>
            </w:r>
          </w:p>
        </w:tc>
        <w:tc>
          <w:tcPr/>
          <w:p>
            <w:pPr>
              <w:pStyle w:val="Compact"/>
            </w:pPr>
          </w:p>
        </w:tc>
        <w:tc>
          <w:tcPr/>
          <w:p>
            <w:pPr>
              <w:pStyle w:val="Compact"/>
            </w:pPr>
          </w:p>
        </w:tc>
        <w:tc>
          <w:tcPr/>
          <w:p>
            <w:pPr>
              <w:pStyle w:val="Compact"/>
            </w:pPr>
          </w:p>
        </w:tc>
      </w:tr>
      <w:tr>
        <w:tc>
          <w:tcPr/>
          <w:p>
            <w:pPr>
              <w:pStyle w:val="Compact"/>
            </w:pPr>
            <w:r>
              <w:t xml:space="preserve">Website forms and chat</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bookmarkEnd w:id="10"/>
    <w:bookmarkStart w:id="11" w:name="threats-you-can-see-coming-314.4b"/>
    <w:p>
      <w:pPr>
        <w:pStyle w:val="Heading2"/>
      </w:pPr>
      <w:r>
        <w:t xml:space="preserve">3. Threats you can see coming (314.4(b))</w:t>
      </w:r>
    </w:p>
    <w:p>
      <w:pPr>
        <w:pStyle w:val="FirstParagraph"/>
      </w:pPr>
      <w:r>
        <w:t xml:space="preserve">Reasonably foreseeable risks to customer information, from inside the store and outside it. Add your own.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Threat</w:t>
            </w:r>
          </w:p>
        </w:tc>
        <w:tc>
          <w:tcPr/>
          <w:p>
            <w:pPr>
              <w:pStyle w:val="Compact"/>
            </w:pPr>
            <w:r>
              <w:t xml:space="preserve">Inside or outside</w:t>
            </w:r>
          </w:p>
        </w:tc>
        <w:tc>
          <w:tcPr/>
          <w:p>
            <w:pPr>
              <w:pStyle w:val="Compact"/>
            </w:pPr>
            <w:r>
              <w:t xml:space="preserve">Seen here or nearby?</w:t>
            </w:r>
          </w:p>
        </w:tc>
        <w:tc>
          <w:tcPr/>
          <w:p>
            <w:pPr>
              <w:pStyle w:val="Compact"/>
            </w:pPr>
            <w:r>
              <w:t xml:space="preserve">Systems it touches</w:t>
            </w:r>
          </w:p>
        </w:tc>
      </w:tr>
      <w:tr>
        <w:tc>
          <w:tcPr/>
          <w:p>
            <w:pPr>
              <w:pStyle w:val="Compact"/>
            </w:pPr>
            <w:r>
              <w:t xml:space="preserve">Phishing for email or DMS logins</w:t>
            </w:r>
          </w:p>
        </w:tc>
        <w:tc>
          <w:tcPr/>
          <w:p>
            <w:pPr>
              <w:pStyle w:val="Compact"/>
            </w:pPr>
          </w:p>
        </w:tc>
        <w:tc>
          <w:tcPr/>
          <w:p>
            <w:pPr>
              <w:pStyle w:val="Compact"/>
            </w:pPr>
          </w:p>
        </w:tc>
        <w:tc>
          <w:tcPr/>
          <w:p>
            <w:pPr>
              <w:pStyle w:val="Compact"/>
            </w:pPr>
          </w:p>
        </w:tc>
      </w:tr>
      <w:tr>
        <w:tc>
          <w:tcPr/>
          <w:p>
            <w:pPr>
              <w:pStyle w:val="Compact"/>
            </w:pPr>
            <w:r>
              <w:t xml:space="preserve">Ransomware</w:t>
            </w:r>
          </w:p>
        </w:tc>
        <w:tc>
          <w:tcPr/>
          <w:p>
            <w:pPr>
              <w:pStyle w:val="Compact"/>
            </w:pPr>
          </w:p>
        </w:tc>
        <w:tc>
          <w:tcPr/>
          <w:p>
            <w:pPr>
              <w:pStyle w:val="Compact"/>
            </w:pPr>
          </w:p>
        </w:tc>
        <w:tc>
          <w:tcPr/>
          <w:p>
            <w:pPr>
              <w:pStyle w:val="Compact"/>
            </w:pPr>
          </w:p>
        </w:tc>
      </w:tr>
      <w:tr>
        <w:tc>
          <w:tcPr/>
          <w:p>
            <w:pPr>
              <w:pStyle w:val="Compact"/>
            </w:pPr>
            <w:r>
              <w:t xml:space="preserve">Breach at a vendor that holds customer data</w:t>
            </w:r>
          </w:p>
        </w:tc>
        <w:tc>
          <w:tcPr/>
          <w:p>
            <w:pPr>
              <w:pStyle w:val="Compact"/>
            </w:pPr>
          </w:p>
        </w:tc>
        <w:tc>
          <w:tcPr/>
          <w:p>
            <w:pPr>
              <w:pStyle w:val="Compact"/>
            </w:pPr>
          </w:p>
        </w:tc>
        <w:tc>
          <w:tcPr/>
          <w:p>
            <w:pPr>
              <w:pStyle w:val="Compact"/>
            </w:pPr>
          </w:p>
        </w:tc>
      </w:tr>
      <w:tr>
        <w:tc>
          <w:tcPr/>
          <w:p>
            <w:pPr>
              <w:pStyle w:val="Compact"/>
            </w:pPr>
            <w:r>
              <w:t xml:space="preserve">Fake bank-detail change on an invoice</w:t>
            </w:r>
          </w:p>
        </w:tc>
        <w:tc>
          <w:tcPr/>
          <w:p>
            <w:pPr>
              <w:pStyle w:val="Compact"/>
            </w:pPr>
          </w:p>
        </w:tc>
        <w:tc>
          <w:tcPr/>
          <w:p>
            <w:pPr>
              <w:pStyle w:val="Compact"/>
            </w:pPr>
          </w:p>
        </w:tc>
        <w:tc>
          <w:tcPr/>
          <w:p>
            <w:pPr>
              <w:pStyle w:val="Compact"/>
            </w:pPr>
          </w:p>
        </w:tc>
      </w:tr>
      <w:tr>
        <w:tc>
          <w:tcPr/>
          <w:p>
            <w:pPr>
              <w:pStyle w:val="Compact"/>
            </w:pPr>
            <w:r>
              <w:t xml:space="preserve">Shared or never-removed logins</w:t>
            </w:r>
          </w:p>
        </w:tc>
        <w:tc>
          <w:tcPr/>
          <w:p>
            <w:pPr>
              <w:pStyle w:val="Compact"/>
            </w:pPr>
          </w:p>
        </w:tc>
        <w:tc>
          <w:tcPr/>
          <w:p>
            <w:pPr>
              <w:pStyle w:val="Compact"/>
            </w:pPr>
          </w:p>
        </w:tc>
        <w:tc>
          <w:tcPr/>
          <w:p>
            <w:pPr>
              <w:pStyle w:val="Compact"/>
            </w:pPr>
          </w:p>
        </w:tc>
      </w:tr>
      <w:tr>
        <w:tc>
          <w:tcPr/>
          <w:p>
            <w:pPr>
              <w:pStyle w:val="Compact"/>
            </w:pPr>
            <w:r>
              <w:t xml:space="preserve">Departing employee takes customer data</w:t>
            </w:r>
          </w:p>
        </w:tc>
        <w:tc>
          <w:tcPr/>
          <w:p>
            <w:pPr>
              <w:pStyle w:val="Compact"/>
            </w:pPr>
          </w:p>
        </w:tc>
        <w:tc>
          <w:tcPr/>
          <w:p>
            <w:pPr>
              <w:pStyle w:val="Compact"/>
            </w:pPr>
          </w:p>
        </w:tc>
        <w:tc>
          <w:tcPr/>
          <w:p>
            <w:pPr>
              <w:pStyle w:val="Compact"/>
            </w:pPr>
          </w:p>
        </w:tc>
      </w:tr>
      <w:tr>
        <w:tc>
          <w:tcPr/>
          <w:p>
            <w:pPr>
              <w:pStyle w:val="Compact"/>
            </w:pPr>
            <w:r>
              <w:t xml:space="preserve">Paper files left out or unlocked</w:t>
            </w:r>
          </w:p>
        </w:tc>
        <w:tc>
          <w:tcPr/>
          <w:p>
            <w:pPr>
              <w:pStyle w:val="Compact"/>
            </w:pPr>
          </w:p>
        </w:tc>
        <w:tc>
          <w:tcPr/>
          <w:p>
            <w:pPr>
              <w:pStyle w:val="Compact"/>
            </w:pPr>
          </w:p>
        </w:tc>
        <w:tc>
          <w:tcPr/>
          <w:p>
            <w:pPr>
              <w:pStyle w:val="Compact"/>
            </w:pPr>
          </w:p>
        </w:tc>
      </w:tr>
      <w:tr>
        <w:tc>
          <w:tcPr/>
          <w:p>
            <w:pPr>
              <w:pStyle w:val="Compact"/>
            </w:pPr>
            <w:r>
              <w:t xml:space="preserve">Lost or stolen laptop or phone</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bookmarkEnd w:id="11"/>
    <w:bookmarkStart w:id="12" w:name="scoring-criteria-314.4b1i"/>
    <w:p>
      <w:pPr>
        <w:pStyle w:val="Heading2"/>
      </w:pPr>
      <w:r>
        <w:t xml:space="preserve">4. Scoring criteria (314.4(b)(1)(i))</w:t>
      </w:r>
    </w:p>
    <w:p>
      <w:pPr>
        <w:pStyle w:val="FirstParagraph"/>
      </w:pPr>
      <w:r>
        <w:t xml:space="preserve">Decide what each level means before you score. Score = likelihood x impact, from 1 to 9. Suggested cut-offs: 6 or 9, fix with a name and a date. 3 or 4, fix or sign off. 1 or 2, accept in writing.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Level</w:t>
            </w:r>
          </w:p>
        </w:tc>
        <w:tc>
          <w:tcPr/>
          <w:p>
            <w:pPr>
              <w:pStyle w:val="Compact"/>
            </w:pPr>
            <w:r>
              <w:t xml:space="preserve">Likelihood means, at this store</w:t>
            </w:r>
          </w:p>
        </w:tc>
        <w:tc>
          <w:tcPr/>
          <w:p>
            <w:pPr>
              <w:pStyle w:val="Compact"/>
            </w:pPr>
            <w:r>
              <w:t xml:space="preserve">Impact means, at this store</w:t>
            </w:r>
          </w:p>
        </w:tc>
      </w:tr>
      <w:tr>
        <w:tc>
          <w:tcPr/>
          <w:p>
            <w:pPr>
              <w:pStyle w:val="Compact"/>
            </w:pPr>
            <w:r>
              <w:t xml:space="preserve">1 Unlikely / Minor</w:t>
            </w:r>
          </w:p>
        </w:tc>
        <w:tc>
          <w:tcPr/>
          <w:p>
            <w:pPr>
              <w:pStyle w:val="Compact"/>
            </w:pPr>
          </w:p>
        </w:tc>
        <w:tc>
          <w:tcPr/>
          <w:p>
            <w:pPr>
              <w:pStyle w:val="Compact"/>
            </w:pPr>
          </w:p>
        </w:tc>
      </w:tr>
      <w:tr>
        <w:tc>
          <w:tcPr/>
          <w:p>
            <w:pPr>
              <w:pStyle w:val="Compact"/>
            </w:pPr>
            <w:r>
              <w:t xml:space="preserve">2 Possible / Serious</w:t>
            </w:r>
          </w:p>
        </w:tc>
        <w:tc>
          <w:tcPr/>
          <w:p>
            <w:pPr>
              <w:pStyle w:val="Compact"/>
            </w:pPr>
          </w:p>
        </w:tc>
        <w:tc>
          <w:tcPr/>
          <w:p>
            <w:pPr>
              <w:pStyle w:val="Compact"/>
            </w:pPr>
          </w:p>
        </w:tc>
      </w:tr>
      <w:tr>
        <w:tc>
          <w:tcPr/>
          <w:p>
            <w:pPr>
              <w:pStyle w:val="Compact"/>
            </w:pPr>
            <w:r>
              <w:t xml:space="preserve">3 Likely / Severe</w:t>
            </w:r>
          </w:p>
        </w:tc>
        <w:tc>
          <w:tcPr/>
          <w:p>
            <w:pPr>
              <w:pStyle w:val="Compact"/>
            </w:pPr>
          </w:p>
        </w:tc>
        <w:tc>
          <w:tcPr/>
          <w:p>
            <w:pPr>
              <w:pStyle w:val="Compact"/>
            </w:pPr>
          </w:p>
        </w:tc>
      </w:tr>
    </w:tbl>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Likelihood / impact</w:t>
            </w:r>
          </w:p>
        </w:tc>
        <w:tc>
          <w:tcPr/>
          <w:p>
            <w:pPr>
              <w:pStyle w:val="Compact"/>
            </w:pPr>
            <w:r>
              <w:t xml:space="preserve">Minor (1)</w:t>
            </w:r>
          </w:p>
        </w:tc>
        <w:tc>
          <w:tcPr/>
          <w:p>
            <w:pPr>
              <w:pStyle w:val="Compact"/>
            </w:pPr>
            <w:r>
              <w:t xml:space="preserve">Serious (2)</w:t>
            </w:r>
          </w:p>
        </w:tc>
        <w:tc>
          <w:tcPr/>
          <w:p>
            <w:pPr>
              <w:pStyle w:val="Compact"/>
            </w:pPr>
            <w:r>
              <w:t xml:space="preserve">Severe (3)</w:t>
            </w:r>
          </w:p>
        </w:tc>
      </w:tr>
      <w:tr>
        <w:tc>
          <w:tcPr/>
          <w:p>
            <w:pPr>
              <w:pStyle w:val="Compact"/>
            </w:pPr>
            <w:r>
              <w:t xml:space="preserve">Likely (3)</w:t>
            </w:r>
          </w:p>
        </w:tc>
        <w:tc>
          <w:tcPr/>
          <w:p>
            <w:pPr>
              <w:pStyle w:val="Compact"/>
            </w:pPr>
            <w:r>
              <w:t xml:space="preserve">3</w:t>
            </w:r>
          </w:p>
        </w:tc>
        <w:tc>
          <w:tcPr/>
          <w:p>
            <w:pPr>
              <w:pStyle w:val="Compact"/>
            </w:pPr>
            <w:r>
              <w:t xml:space="preserve">6</w:t>
            </w:r>
          </w:p>
        </w:tc>
        <w:tc>
          <w:tcPr/>
          <w:p>
            <w:pPr>
              <w:pStyle w:val="Compact"/>
            </w:pPr>
            <w:r>
              <w:t xml:space="preserve">9</w:t>
            </w:r>
          </w:p>
        </w:tc>
      </w:tr>
      <w:tr>
        <w:tc>
          <w:tcPr/>
          <w:p>
            <w:pPr>
              <w:pStyle w:val="Compact"/>
            </w:pPr>
            <w:r>
              <w:t xml:space="preserve">Possible (2)</w:t>
            </w:r>
          </w:p>
        </w:tc>
        <w:tc>
          <w:tcPr/>
          <w:p>
            <w:pPr>
              <w:pStyle w:val="Compact"/>
            </w:pPr>
            <w:r>
              <w:t xml:space="preserve">2</w:t>
            </w:r>
          </w:p>
        </w:tc>
        <w:tc>
          <w:tcPr/>
          <w:p>
            <w:pPr>
              <w:pStyle w:val="Compact"/>
            </w:pPr>
            <w:r>
              <w:t xml:space="preserve">4</w:t>
            </w:r>
          </w:p>
        </w:tc>
        <w:tc>
          <w:tcPr/>
          <w:p>
            <w:pPr>
              <w:pStyle w:val="Compact"/>
            </w:pPr>
            <w:r>
              <w:t xml:space="preserve">6</w:t>
            </w:r>
          </w:p>
        </w:tc>
      </w:tr>
      <w:tr>
        <w:tc>
          <w:tcPr/>
          <w:p>
            <w:pPr>
              <w:pStyle w:val="Compact"/>
            </w:pPr>
            <w:r>
              <w:t xml:space="preserve">Unlikely (1)</w:t>
            </w:r>
          </w:p>
        </w:tc>
        <w:tc>
          <w:tcPr/>
          <w:p>
            <w:pPr>
              <w:pStyle w:val="Compact"/>
            </w:pPr>
            <w:r>
              <w:t xml:space="preserve">1</w:t>
            </w:r>
          </w:p>
        </w:tc>
        <w:tc>
          <w:tcPr/>
          <w:p>
            <w:pPr>
              <w:pStyle w:val="Compact"/>
            </w:pPr>
            <w:r>
              <w:t xml:space="preserve">2</w:t>
            </w:r>
          </w:p>
        </w:tc>
        <w:tc>
          <w:tcPr/>
          <w:p>
            <w:pPr>
              <w:pStyle w:val="Compact"/>
            </w:pPr>
            <w:r>
              <w:t xml:space="preserve">3</w:t>
            </w:r>
          </w:p>
        </w:tc>
      </w:tr>
    </w:tbl>
    <w:bookmarkEnd w:id="12"/>
    <w:bookmarkStart w:id="13" w:name="X142682789c65eefdbedf692b4ca00f174124fcf"/>
    <w:p>
      <w:pPr>
        <w:pStyle w:val="Heading2"/>
      </w:pPr>
      <w:r>
        <w:t xml:space="preserve">5. Confidentiality, integrity and availability (314.4(b)(1)(ii))</w:t>
      </w:r>
    </w:p>
    <w:p>
      <w:pPr>
        <w:pStyle w:val="FirstParagraph"/>
      </w:pPr>
      <w:r>
        <w:t xml:space="preserve">For each system, rate 1 to 3 how much it matters that the data stays private, stays accurate and stays reachable. Then judge the controls already in place.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System</w:t>
            </w:r>
          </w:p>
        </w:tc>
        <w:tc>
          <w:tcPr/>
          <w:p>
            <w:pPr>
              <w:pStyle w:val="Compact"/>
            </w:pPr>
            <w:r>
              <w:t xml:space="preserve">Confidentiality</w:t>
            </w:r>
          </w:p>
        </w:tc>
        <w:tc>
          <w:tcPr/>
          <w:p>
            <w:pPr>
              <w:pStyle w:val="Compact"/>
            </w:pPr>
            <w:r>
              <w:t xml:space="preserve">Integrity</w:t>
            </w:r>
          </w:p>
        </w:tc>
        <w:tc>
          <w:tcPr/>
          <w:p>
            <w:pPr>
              <w:pStyle w:val="Compact"/>
            </w:pPr>
            <w:r>
              <w:t xml:space="preserve">Availability</w:t>
            </w:r>
          </w:p>
        </w:tc>
        <w:tc>
          <w:tcPr/>
          <w:p>
            <w:pPr>
              <w:pStyle w:val="Compact"/>
            </w:pPr>
            <w:r>
              <w:t xml:space="preserve">Existing controls</w:t>
            </w:r>
          </w:p>
        </w:tc>
        <w:tc>
          <w:tcPr/>
          <w:p>
            <w:pPr>
              <w:pStyle w:val="Compact"/>
            </w:pPr>
            <w:r>
              <w:t xml:space="preserve">Enough? Y/N</w:t>
            </w:r>
          </w:p>
        </w:tc>
      </w:tr>
      <w:tr>
        <w:tc>
          <w:tcPr/>
          <w:p>
            <w:pPr>
              <w:pStyle w:val="Compact"/>
            </w:pPr>
            <w:r>
              <w:t xml:space="preserve">DMS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CRM</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F&amp;I and e-contracting</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Email</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File server</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Backups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Paper files</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risk-register-314.4b"/>
    <w:p>
      <w:pPr>
        <w:pStyle w:val="Heading2"/>
      </w:pPr>
      <w:r>
        <w:t xml:space="preserve">6. Risk register (314.4(b))</w:t>
      </w:r>
    </w:p>
    <w:p>
      <w:pPr>
        <w:pStyle w:val="FirstParagraph"/>
      </w:pPr>
      <w:r>
        <w:t xml:space="preserve">One row per risk, sorted by score. L = likelihood, I = impact, score = L x I.</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w:t>
            </w:r>
          </w:p>
        </w:tc>
        <w:tc>
          <w:tcPr/>
          <w:p>
            <w:pPr>
              <w:pStyle w:val="Compact"/>
            </w:pPr>
            <w:r>
              <w:t xml:space="preserve">Risk and the asset it touches</w:t>
            </w:r>
          </w:p>
        </w:tc>
        <w:tc>
          <w:tcPr/>
          <w:p>
            <w:pPr>
              <w:pStyle w:val="Compact"/>
            </w:pPr>
            <w:r>
              <w:t xml:space="preserve">L</w:t>
            </w:r>
          </w:p>
        </w:tc>
        <w:tc>
          <w:tcPr/>
          <w:p>
            <w:pPr>
              <w:pStyle w:val="Compact"/>
            </w:pPr>
            <w:r>
              <w:t xml:space="preserve">I</w:t>
            </w:r>
          </w:p>
        </w:tc>
        <w:tc>
          <w:tcPr/>
          <w:p>
            <w:pPr>
              <w:pStyle w:val="Compact"/>
            </w:pPr>
            <w:r>
              <w:t xml:space="preserve">Score</w:t>
            </w:r>
          </w:p>
        </w:tc>
        <w:tc>
          <w:tcPr/>
          <w:p>
            <w:pPr>
              <w:pStyle w:val="Compact"/>
            </w:pPr>
            <w:r>
              <w:t xml:space="preserve">Existing controls</w:t>
            </w:r>
          </w:p>
        </w:tc>
        <w:tc>
          <w:tcPr/>
          <w:p>
            <w:pPr>
              <w:pStyle w:val="Compact"/>
            </w:pPr>
            <w:r>
              <w:t xml:space="preserve">Gap</w:t>
            </w:r>
          </w:p>
        </w:tc>
        <w:tc>
          <w:tcPr/>
          <w:p>
            <w:pPr>
              <w:pStyle w:val="Compact"/>
            </w:pPr>
            <w:r>
              <w:t xml:space="preserve">Decision</w:t>
            </w:r>
          </w:p>
        </w:tc>
        <w:tc>
          <w:tcPr/>
          <w:p>
            <w:pPr>
              <w:pStyle w:val="Compact"/>
            </w:pPr>
            <w:r>
              <w:t xml:space="preserve">Owner</w:t>
            </w:r>
          </w:p>
        </w:tc>
        <w:tc>
          <w:tcPr/>
          <w:p>
            <w:pPr>
              <w:pStyle w:val="Compact"/>
            </w:pPr>
            <w:r>
              <w:t xml:space="preserve">Due</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6</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7</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8</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9</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10</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11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12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4"/>
    <w:bookmarkStart w:id="15" w:name="mitigate-or-accept-314.4b1iii"/>
    <w:p>
      <w:pPr>
        <w:pStyle w:val="Heading2"/>
      </w:pPr>
      <w:r>
        <w:t xml:space="preserve">7. Mitigate or accept (314.4(b)(1)(iii))</w:t>
      </w:r>
    </w:p>
    <w:p>
      <w:pPr>
        <w:pStyle w:val="FirstParagraph"/>
      </w:pPr>
      <w:r>
        <w:t xml:space="preserve">Every risk gets a decision. Mitigate means a named person, a fix and a due date. Accept means an owner or general manager signs with a reason. Required safeguards such as multi-factor authentication and encryption cannot be accepted away unless the Qualified Individual approves an equivalent control in writing.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Risk #</w:t>
            </w:r>
          </w:p>
        </w:tc>
        <w:tc>
          <w:tcPr/>
          <w:p>
            <w:pPr>
              <w:pStyle w:val="Compact"/>
            </w:pPr>
            <w:r>
              <w:t xml:space="preserve">Mitigate or accept</w:t>
            </w:r>
          </w:p>
        </w:tc>
        <w:tc>
          <w:tcPr/>
          <w:p>
            <w:pPr>
              <w:pStyle w:val="Compact"/>
            </w:pPr>
            <w:r>
              <w:t xml:space="preserve">Fix, or reason for accepting</w:t>
            </w:r>
          </w:p>
        </w:tc>
        <w:tc>
          <w:tcPr/>
          <w:p>
            <w:pPr>
              <w:pStyle w:val="Compact"/>
            </w:pPr>
            <w:r>
              <w:t xml:space="preserve">Owner, or signed by</w:t>
            </w:r>
          </w:p>
        </w:tc>
        <w:tc>
          <w:tcPr/>
          <w:p>
            <w:pPr>
              <w:pStyle w:val="Compact"/>
            </w:pPr>
            <w:r>
              <w:t xml:space="preserve">Date</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15"/>
    <w:bookmarkStart w:id="16" w:name="vendors-that-hold-your-data-314.4f3"/>
    <w:p>
      <w:pPr>
        <w:pStyle w:val="Heading2"/>
      </w:pPr>
      <w:r>
        <w:t xml:space="preserve">8. Vendors that hold your data (314.4(f)(3))</w:t>
      </w:r>
    </w:p>
    <w:p>
      <w:pPr>
        <w:pStyle w:val="FirstParagraph"/>
      </w:pPr>
      <w:r>
        <w:t xml:space="preserve">Assess each service provider on the risk it presents. Ask for evidence of its safeguards and check the contract for security terms.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Vendor</w:t>
            </w:r>
          </w:p>
        </w:tc>
        <w:tc>
          <w:tcPr/>
          <w:p>
            <w:pPr>
              <w:pStyle w:val="Compact"/>
            </w:pPr>
            <w:r>
              <w:t xml:space="preserve">What it holds or can reach</w:t>
            </w:r>
          </w:p>
        </w:tc>
        <w:tc>
          <w:tcPr/>
          <w:p>
            <w:pPr>
              <w:pStyle w:val="Compact"/>
            </w:pPr>
            <w:r>
              <w:t xml:space="preserve">Security terms in contract?</w:t>
            </w:r>
          </w:p>
        </w:tc>
        <w:tc>
          <w:tcPr/>
          <w:p>
            <w:pPr>
              <w:pStyle w:val="Compact"/>
            </w:pPr>
            <w:r>
              <w:t xml:space="preserve">Last review</w:t>
            </w:r>
          </w:p>
        </w:tc>
      </w:tr>
      <w:tr>
        <w:tc>
          <w:tcPr/>
          <w:p>
            <w:pPr>
              <w:pStyle w:val="Compact"/>
            </w:pPr>
            <w:r>
              <w:t xml:space="preserve">DMS provider</w:t>
            </w:r>
          </w:p>
        </w:tc>
        <w:tc>
          <w:tcPr/>
          <w:p>
            <w:pPr>
              <w:pStyle w:val="Compact"/>
            </w:pPr>
          </w:p>
        </w:tc>
        <w:tc>
          <w:tcPr/>
          <w:p>
            <w:pPr>
              <w:pStyle w:val="Compact"/>
            </w:pPr>
          </w:p>
        </w:tc>
        <w:tc>
          <w:tcPr/>
          <w:p>
            <w:pPr>
              <w:pStyle w:val="Compact"/>
            </w:pPr>
          </w:p>
        </w:tc>
      </w:tr>
      <w:tr>
        <w:tc>
          <w:tcPr/>
          <w:p>
            <w:pPr>
              <w:pStyle w:val="Compact"/>
            </w:pPr>
            <w:r>
              <w:t xml:space="preserve">CRM</w:t>
            </w:r>
          </w:p>
        </w:tc>
        <w:tc>
          <w:tcPr/>
          <w:p>
            <w:pPr>
              <w:pStyle w:val="Compact"/>
            </w:pPr>
          </w:p>
        </w:tc>
        <w:tc>
          <w:tcPr/>
          <w:p>
            <w:pPr>
              <w:pStyle w:val="Compact"/>
            </w:pPr>
          </w:p>
        </w:tc>
        <w:tc>
          <w:tcPr/>
          <w:p>
            <w:pPr>
              <w:pStyle w:val="Compact"/>
            </w:pPr>
          </w:p>
        </w:tc>
      </w:tr>
      <w:tr>
        <w:tc>
          <w:tcPr/>
          <w:p>
            <w:pPr>
              <w:pStyle w:val="Compact"/>
            </w:pPr>
            <w:r>
              <w:t xml:space="preserve">Credit bureau connection</w:t>
            </w:r>
          </w:p>
        </w:tc>
        <w:tc>
          <w:tcPr/>
          <w:p>
            <w:pPr>
              <w:pStyle w:val="Compact"/>
            </w:pPr>
          </w:p>
        </w:tc>
        <w:tc>
          <w:tcPr/>
          <w:p>
            <w:pPr>
              <w:pStyle w:val="Compact"/>
            </w:pPr>
          </w:p>
        </w:tc>
        <w:tc>
          <w:tcPr/>
          <w:p>
            <w:pPr>
              <w:pStyle w:val="Compact"/>
            </w:pPr>
          </w:p>
        </w:tc>
      </w:tr>
      <w:tr>
        <w:tc>
          <w:tcPr/>
          <w:p>
            <w:pPr>
              <w:pStyle w:val="Compact"/>
            </w:pPr>
            <w:r>
              <w:t xml:space="preserve">E-contracting or F&amp;I platform</w:t>
            </w:r>
          </w:p>
        </w:tc>
        <w:tc>
          <w:tcPr/>
          <w:p>
            <w:pPr>
              <w:pStyle w:val="Compact"/>
            </w:pPr>
          </w:p>
        </w:tc>
        <w:tc>
          <w:tcPr/>
          <w:p>
            <w:pPr>
              <w:pStyle w:val="Compact"/>
            </w:pPr>
          </w:p>
        </w:tc>
        <w:tc>
          <w:tcPr/>
          <w:p>
            <w:pPr>
              <w:pStyle w:val="Compact"/>
            </w:pPr>
          </w:p>
        </w:tc>
      </w:tr>
      <w:tr>
        <w:tc>
          <w:tcPr/>
          <w:p>
            <w:pPr>
              <w:pStyle w:val="Compact"/>
            </w:pPr>
            <w:r>
              <w:t xml:space="preserve">IT and security provider</w:t>
            </w:r>
          </w:p>
        </w:tc>
        <w:tc>
          <w:tcPr/>
          <w:p>
            <w:pPr>
              <w:pStyle w:val="Compact"/>
            </w:pPr>
          </w:p>
        </w:tc>
        <w:tc>
          <w:tcPr/>
          <w:p>
            <w:pPr>
              <w:pStyle w:val="Compact"/>
            </w:pPr>
          </w:p>
        </w:tc>
        <w:tc>
          <w:tcPr/>
          <w:p>
            <w:pPr>
              <w:pStyle w:val="Compact"/>
            </w:pPr>
          </w:p>
        </w:tc>
      </w:tr>
      <w:tr>
        <w:tc>
          <w:tcPr/>
          <w:p>
            <w:pPr>
              <w:pStyle w:val="Compact"/>
            </w:pPr>
            <w:r>
              <w:t xml:space="preserve">Payroll</w:t>
            </w:r>
          </w:p>
        </w:tc>
        <w:tc>
          <w:tcPr/>
          <w:p>
            <w:pPr>
              <w:pStyle w:val="Compact"/>
            </w:pPr>
          </w:p>
        </w:tc>
        <w:tc>
          <w:tcPr/>
          <w:p>
            <w:pPr>
              <w:pStyle w:val="Compact"/>
            </w:pPr>
          </w:p>
        </w:tc>
        <w:tc>
          <w:tcPr/>
          <w:p>
            <w:pPr>
              <w:pStyle w:val="Compact"/>
            </w:pPr>
          </w:p>
        </w:tc>
      </w:tr>
      <w:tr>
        <w:tc>
          <w:tcPr/>
          <w:p>
            <w:pPr>
              <w:pStyle w:val="Compact"/>
            </w:pPr>
            <w:r>
              <w:t xml:space="preserve">Website and chat</w:t>
            </w:r>
          </w:p>
        </w:tc>
        <w:tc>
          <w:tcPr/>
          <w:p>
            <w:pPr>
              <w:pStyle w:val="Compact"/>
            </w:pPr>
          </w:p>
        </w:tc>
        <w:tc>
          <w:tcPr/>
          <w:p>
            <w:pPr>
              <w:pStyle w:val="Compact"/>
            </w:pPr>
          </w:p>
        </w:tc>
        <w:tc>
          <w:tcPr/>
          <w:p>
            <w:pPr>
              <w:pStyle w:val="Compact"/>
            </w:pPr>
          </w:p>
        </w:tc>
      </w:tr>
      <w:tr>
        <w:tc>
          <w:tcPr/>
          <w:p>
            <w:pPr>
              <w:pStyle w:val="Compact"/>
            </w:pPr>
            <w:r>
              <w:t xml:space="preserve">Other</w:t>
            </w:r>
          </w:p>
        </w:tc>
        <w:tc>
          <w:tcPr/>
          <w:p>
            <w:pPr>
              <w:pStyle w:val="Compact"/>
            </w:pPr>
          </w:p>
        </w:tc>
        <w:tc>
          <w:tcPr/>
          <w:p>
            <w:pPr>
              <w:pStyle w:val="Compact"/>
            </w:pPr>
          </w:p>
        </w:tc>
        <w:tc>
          <w:tcPr/>
          <w:p>
            <w:pPr>
              <w:pStyle w:val="Compact"/>
            </w:pPr>
          </w:p>
        </w:tc>
      </w:tr>
    </w:tbl>
    <w:bookmarkEnd w:id="16"/>
    <w:bookmarkStart w:id="17" w:name="where-the-results-go-314.4c-d2-e1-i"/>
    <w:p>
      <w:pPr>
        <w:pStyle w:val="Heading2"/>
      </w:pPr>
      <w:r>
        <w:t xml:space="preserve">9. Where the results go (314.4(c), (d)(2), (e)(1), (i))</w:t>
      </w:r>
    </w:p>
    <w:p>
      <w:pPr>
        <w:pStyle w:val="FirstParagraph"/>
      </w:pPr>
      <w:r>
        <w:t xml:space="preserve">What changed because of this assessment: safeguards, the scope of penetration testing and vulnerability scans, training topics, and the written report to the board or owner.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Safeguards added or changed</w:t>
            </w:r>
          </w:p>
        </w:tc>
        <w:tc>
          <w:tcPr/>
          <w:p>
            <w:pPr>
              <w:pStyle w:val="Compact"/>
            </w:pPr>
          </w:p>
        </w:tc>
      </w:tr>
      <w:tr>
        <w:tc>
          <w:tcPr/>
          <w:p>
            <w:pPr>
              <w:pStyle w:val="Compact"/>
            </w:pPr>
            <w:r>
              <w:t xml:space="preserve">Pen test scope this year</w:t>
            </w:r>
          </w:p>
        </w:tc>
        <w:tc>
          <w:tcPr/>
          <w:p>
            <w:pPr>
              <w:pStyle w:val="Compact"/>
            </w:pPr>
          </w:p>
        </w:tc>
      </w:tr>
      <w:tr>
        <w:tc>
          <w:tcPr/>
          <w:p>
            <w:pPr>
              <w:pStyle w:val="Compact"/>
            </w:pPr>
            <w:r>
              <w:t xml:space="preserve">Vulnerability scan scope</w:t>
            </w:r>
          </w:p>
        </w:tc>
        <w:tc>
          <w:tcPr/>
          <w:p>
            <w:pPr>
              <w:pStyle w:val="Compact"/>
            </w:pPr>
          </w:p>
        </w:tc>
      </w:tr>
      <w:tr>
        <w:tc>
          <w:tcPr/>
          <w:p>
            <w:pPr>
              <w:pStyle w:val="Compact"/>
            </w:pPr>
            <w:r>
              <w:t xml:space="preserve">Training topics updated</w:t>
            </w:r>
          </w:p>
        </w:tc>
        <w:tc>
          <w:tcPr/>
          <w:p>
            <w:pPr>
              <w:pStyle w:val="Compact"/>
            </w:pPr>
          </w:p>
        </w:tc>
      </w:tr>
      <w:tr>
        <w:tc>
          <w:tcPr/>
          <w:p>
            <w:pPr>
              <w:pStyle w:val="Compact"/>
            </w:pPr>
            <w:r>
              <w:t xml:space="preserve">Report to board or owner, date</w:t>
            </w:r>
          </w:p>
        </w:tc>
        <w:tc>
          <w:tcPr/>
          <w:p>
            <w:pPr>
              <w:pStyle w:val="Compact"/>
            </w:pPr>
          </w:p>
        </w:tc>
      </w:tr>
    </w:tbl>
    <w:bookmarkEnd w:id="17"/>
    <w:bookmarkStart w:id="18" w:name="reassess-314.4b2-g"/>
    <w:p>
      <w:pPr>
        <w:pStyle w:val="Heading2"/>
      </w:pPr>
      <w:r>
        <w:t xml:space="preserve">10. Reassess (314.4(b)(2), (g))</w:t>
      </w:r>
    </w:p>
    <w:p>
      <w:pPr>
        <w:pStyle w:val="FirstParagraph"/>
      </w:pPr>
      <w:r>
        <w:t xml:space="preserve">Reassess at least once a year, and again after a new store, an acquisition, a DMS conversion, a new vendor holding customer data, or a security event.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Reassessment owner</w:t>
            </w:r>
          </w:p>
        </w:tc>
        <w:tc>
          <w:tcPr/>
          <w:p>
            <w:pPr>
              <w:pStyle w:val="Compact"/>
            </w:pPr>
          </w:p>
        </w:tc>
      </w:tr>
      <w:tr>
        <w:tc>
          <w:tcPr/>
          <w:p>
            <w:pPr>
              <w:pStyle w:val="Compact"/>
            </w:pPr>
            <w:r>
              <w:t xml:space="preserve">Changes that trigger an early one</w:t>
            </w:r>
          </w:p>
        </w:tc>
        <w:tc>
          <w:tcPr/>
          <w:p>
            <w:pPr>
              <w:pStyle w:val="Compact"/>
            </w:pPr>
          </w:p>
        </w:tc>
      </w:tr>
      <w:tr>
        <w:tc>
          <w:tcPr/>
          <w:p>
            <w:pPr>
              <w:pStyle w:val="Compact"/>
            </w:pPr>
            <w:r>
              <w:t xml:space="preserve">Next assessment date</w:t>
            </w:r>
          </w:p>
        </w:tc>
        <w:tc>
          <w:tcPr/>
          <w:p>
            <w:pPr>
              <w:pStyle w:val="Compact"/>
            </w:pPr>
          </w:p>
        </w:tc>
      </w:tr>
      <w:tr>
        <w:tc>
          <w:tcPr/>
          <w:p>
            <w:pPr>
              <w:pStyle w:val="Compact"/>
            </w:pPr>
            <w:r>
              <w:t xml:space="preserve">Signed (owner or general manager) and date</w:t>
            </w:r>
          </w:p>
        </w:tc>
        <w:tc>
          <w:tcPr/>
          <w:p>
            <w:pPr>
              <w:pStyle w:val="Compact"/>
            </w:pPr>
          </w:p>
        </w:tc>
      </w:tr>
    </w:tbl>
    <w:p>
      <w:pPr>
        <w:pStyle w:val="BodyText"/>
      </w:pPr>
      <w:r>
        <w:rPr>
          <w:b/>
          <w:bCs/>
        </w:rPr>
        <w:t xml:space="preserve">Want a second set of eyes on your register?</w:t>
      </w:r>
      <w:r>
        <w:t xml:space="preserve"> </w:t>
      </w:r>
      <w:r>
        <w:t xml:space="preserve">Bring it to a complimentary IT and cybersecurity assessment. https://heliontechnologies.com/it-assessment/</w:t>
      </w:r>
    </w:p>
    <w:p>
      <w:pPr>
        <w:pStyle w:val="BodyText"/>
      </w:pPr>
      <w:r>
        <w:t xml:space="preserve">Based on 16 CFR 314.4(b), Standards for Safeguarding Customer Information, as of October 2026. Dealerships with customer information on fewer than 5,000 consumers are exempt from the written assessment under 314.6, but the program must still be based on a risk assessment. This template is a planning aid, not legal advice. © 2026 Helion Technologies. https://heliontechnologies.com/safeguards-risk-assessment-template/</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sz w:val="24"/>
        <w:szCs w:val="24"/>
        <w:lang w:bidi="ar-SA" w:eastAsia="Arial"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sz w:val="56"/>
      <w:szCs w:val="56"/>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pPr>
    <w:rPr>
      <w:rFonts/>
      <w:spacing w:val="15"/>
      <w:sz w:val="28"/>
      <w:szCs w:val="28"/>
    </w:rPr>
  </w:style>
  <w:style w:customStyle="1" w:styleId="SubtitleChar" w:type="character">
    <w:name w:val="Subtitle Char"/>
    <w:basedOn w:val="DefaultParagraphFont"/>
    <w:link w:val="Subtitle"/>
    <w:uiPriority w:val="11"/>
    <w:rsid w:val="00A10FD9"/>
    <w:rPr>
      <w:rFonts/>
      <w:color w:themeColor="text1" w:themeTint="A6" w:val="1F1E1C"/>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color w:themeColor="accent1" w:themeShade="BF" w:val="1F1E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color w:themeColor="accent1" w:themeShade="BF" w:val="E8740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olor w:themeColor="accent1" w:themeShade="BF" w:val="1F1E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i/>
      <w:iCs/>
      <w:color w:themeColor="accent1" w:themeShade="BF" w:val="1F1E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olor w:themeColor="accent1" w:themeShade="BF" w:val="1F1E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i/>
      <w:iCs/>
      <w:color w:themeColor="text1" w:themeTint="A6" w:val="1F1E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olor w:themeColor="text1" w:themeTint="A6" w:val="1F1E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i/>
      <w:iCs/>
      <w:color w:themeColor="text1" w:themeTint="D8" w:val="1F1E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olor w:themeColor="text1" w:themeTint="D8" w:val="1F1E1C"/>
    </w:rPr>
  </w:style>
  <w:style w:customStyle="1" w:styleId="Heading1Char" w:type="character">
    <w:name w:val="Heading 1 Char"/>
    <w:basedOn w:val="DefaultParagraphFont"/>
    <w:link w:val="Heading1"/>
    <w:uiPriority w:val="9"/>
    <w:rsid w:val="00A10FD9"/>
    <w:rPr>
      <w:rFonts/>
      <w:color w:themeColor="accent1" w:themeShade="BF" w:val="1F1E1C"/>
      <w:sz w:val="40"/>
      <w:szCs w:val="40"/>
    </w:rPr>
  </w:style>
  <w:style w:customStyle="1" w:styleId="Heading2Char" w:type="character">
    <w:name w:val="Heading 2 Char"/>
    <w:basedOn w:val="DefaultParagraphFont"/>
    <w:link w:val="Heading2"/>
    <w:uiPriority w:val="9"/>
    <w:semiHidden/>
    <w:rsid w:val="00A10FD9"/>
    <w:rPr>
      <w:rFonts/>
      <w:color w:themeColor="accent1" w:themeShade="BF" w:val="1F1E1C"/>
      <w:sz w:val="32"/>
      <w:szCs w:val="32"/>
    </w:rPr>
  </w:style>
  <w:style w:customStyle="1" w:styleId="Heading3Char" w:type="character">
    <w:name w:val="Heading 3 Char"/>
    <w:basedOn w:val="DefaultParagraphFont"/>
    <w:link w:val="Heading3"/>
    <w:uiPriority w:val="9"/>
    <w:semiHidden/>
    <w:rsid w:val="00A10FD9"/>
    <w:rPr>
      <w:rFonts/>
      <w:color w:themeColor="accent1" w:themeShade="BF" w:val="1F1E1C"/>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1F1E1C"/>
    </w:rPr>
  </w:style>
  <w:style w:customStyle="1" w:styleId="Heading5Char" w:type="character">
    <w:name w:val="Heading 5 Char"/>
    <w:basedOn w:val="DefaultParagraphFont"/>
    <w:link w:val="Heading5"/>
    <w:uiPriority w:val="9"/>
    <w:semiHidden/>
    <w:rsid w:val="00A10FD9"/>
    <w:rPr>
      <w:rFonts/>
      <w:color w:themeColor="accent1" w:themeShade="BF" w:val="1F1E1C"/>
    </w:rPr>
  </w:style>
  <w:style w:customStyle="1" w:styleId="Heading6Char" w:type="character">
    <w:name w:val="Heading 6 Char"/>
    <w:basedOn w:val="DefaultParagraphFont"/>
    <w:link w:val="Heading6"/>
    <w:uiPriority w:val="9"/>
    <w:semiHidden/>
    <w:rsid w:val="00A10FD9"/>
    <w:rPr>
      <w:rFonts/>
      <w:i/>
      <w:iCs/>
      <w:color w:themeColor="text1" w:themeTint="A6" w:val="1F1E1C"/>
    </w:rPr>
  </w:style>
  <w:style w:customStyle="1" w:styleId="Heading7Char" w:type="character">
    <w:name w:val="Heading 7 Char"/>
    <w:basedOn w:val="DefaultParagraphFont"/>
    <w:link w:val="Heading7"/>
    <w:uiPriority w:val="9"/>
    <w:semiHidden/>
    <w:rsid w:val="00A10FD9"/>
    <w:rPr>
      <w:rFonts/>
      <w:color w:themeColor="text1" w:themeTint="A6" w:val="1F1E1C"/>
    </w:rPr>
  </w:style>
  <w:style w:customStyle="1" w:styleId="Heading8Char" w:type="character">
    <w:name w:val="Heading 8 Char"/>
    <w:basedOn w:val="DefaultParagraphFont"/>
    <w:link w:val="Heading8"/>
    <w:uiPriority w:val="9"/>
    <w:semiHidden/>
    <w:rsid w:val="00A10FD9"/>
    <w:rPr>
      <w:rFonts/>
      <w:i/>
      <w:iCs/>
      <w:color w:themeColor="text1" w:themeTint="D8" w:val="1F1E1C"/>
    </w:rPr>
  </w:style>
  <w:style w:customStyle="1" w:styleId="Heading9Char" w:type="character">
    <w:name w:val="Heading 9 Char"/>
    <w:basedOn w:val="DefaultParagraphFont"/>
    <w:link w:val="Heading9"/>
    <w:uiPriority w:val="9"/>
    <w:semiHidden/>
    <w:rsid w:val="00A10FD9"/>
    <w:rPr>
      <w:rFonts/>
      <w:color w:themeColor="text1" w:themeTint="D8" w:val="1F1E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DB6A8" w:space="0" w:sz="4" w:val="single"/>
        <w:left w:color="BDB6A8" w:space="0" w:sz="4" w:val="single"/>
        <w:bottom w:color="BDB6A8" w:space="0" w:sz="4" w:val="single"/>
        <w:right w:color="BDB6A8" w:space="0" w:sz="4" w:val="single"/>
        <w:insideH w:color="BDB6A8" w:space="0" w:sz="4" w:val="single"/>
        <w:insideV w:color="BDB6A8" w:space="0" w:sz="4" w:val="single"/>
      </w:tblBorders>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F1E1C"/>
    </w:rPr>
  </w:style>
  <w:style w:styleId="TOCHeading" w:type="paragraph">
    <w:name w:val="TOC Heading"/>
    <w:basedOn w:val="Heading1"/>
    <w:next w:val="BodyText"/>
    <w:uiPriority w:val="39"/>
    <w:unhideWhenUsed/>
    <w:qFormat/>
    <w:pPr>
      <w:spacing w:before="240" w:line="259" w:lineRule="auto"/>
      <w:outlineLvl w:val="9"/>
    </w:pPr>
    <w:rPr>
      <w:rFonts/>
      <w:b w:val="0"/>
      <w:bCs w:val="0"/>
      <w:color w:themeColor="accent1" w:themeShade="BF" w:val="1F1E1C"/>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dc:title>
  <dc:creator>Helion Technologies</dc:creator>
  <cp:keywords/>
  <dcterms:created xsi:type="dcterms:W3CDTF">2026-10-20T13:36:04Z</dcterms:created>
  <dcterms:modified xsi:type="dcterms:W3CDTF">2026-10-20T13:36:04Z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Dealership risk assessment template, covering what the FTC Safeguards Rule asks for in 16 CFR 314.4(b)</vt:lpwstr>
  </property>
</Properties>
</file>