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Incident Response Plan</w:t>
      </w:r>
    </w:p>
    <w:p>
      <w:pPr>
        <w:pStyle w:val="Subtitle"/>
      </w:pPr>
      <w:r>
        <w:t xml:space="preserve">Dealership incident response plan template, covering the seven areas in 16 CFR 314.4(h)</w:t>
      </w:r>
    </w:p>
    <w:p>
      <w:pPr>
        <w:pStyle w:val="Author"/>
      </w:pPr>
      <w:r>
        <w:t xml:space="preserve">Helion Technologies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Plan details</w:t>
            </w:r>
          </w:p>
        </w:tc>
        <w:tc>
          <w:tcPr/>
          <w:p>
            <w:pPr>
              <w:pStyle w:val="Compact"/>
            </w:pPr>
            <w:r>
              <w:t xml:space="preserve">Fill in</w:t>
            </w:r>
          </w:p>
        </w:tc>
      </w:tr>
      <w:tr>
        <w:tc>
          <w:tcPr/>
          <w:p>
            <w:pPr>
              <w:pStyle w:val="Compact"/>
            </w:pPr>
            <w:r>
              <w:t xml:space="preserve">Dealership and rooftops covered</w:t>
            </w:r>
          </w:p>
        </w:tc>
        <w:tc>
          <w:tcPr/>
          <w:p>
            <w:pPr>
              <w:pStyle w:val="Compact"/>
            </w:pPr>
          </w:p>
        </w:tc>
      </w:tr>
      <w:tr>
        <w:tc>
          <w:tcPr/>
          <w:p>
            <w:pPr>
              <w:pStyle w:val="Compact"/>
            </w:pPr>
            <w:r>
              <w:t xml:space="preserve">Plan owner (Qualified Individual)</w:t>
            </w:r>
          </w:p>
        </w:tc>
        <w:tc>
          <w:tcPr/>
          <w:p>
            <w:pPr>
              <w:pStyle w:val="Compact"/>
            </w:pPr>
          </w:p>
        </w:tc>
      </w:tr>
      <w:tr>
        <w:tc>
          <w:tcPr/>
          <w:p>
            <w:pPr>
              <w:pStyle w:val="Compact"/>
            </w:pPr>
            <w:r>
              <w:t xml:space="preserve">Version date</w:t>
            </w:r>
          </w:p>
        </w:tc>
        <w:tc>
          <w:tcPr/>
          <w:p>
            <w:pPr>
              <w:pStyle w:val="Compact"/>
            </w:pPr>
          </w:p>
        </w:tc>
      </w:tr>
      <w:tr>
        <w:tc>
          <w:tcPr/>
          <w:p>
            <w:pPr>
              <w:pStyle w:val="Compact"/>
            </w:pPr>
            <w:r>
              <w:t xml:space="preserve">Next review date</w:t>
            </w:r>
          </w:p>
        </w:tc>
        <w:tc>
          <w:tcPr/>
          <w:p>
            <w:pPr>
              <w:pStyle w:val="Compact"/>
            </w:pPr>
          </w:p>
        </w:tc>
      </w:tr>
    </w:tbl>
    <w:p>
      <w:pPr>
        <w:pStyle w:val="BodyText"/>
      </w:pPr>
      <w:r>
        <w:rPr>
          <w:b/>
          <w:bCs/>
        </w:rPr>
        <w:t xml:space="preserve">How to use it.</w:t>
      </w:r>
      <w:r>
        <w:t xml:space="preserve"> </w:t>
      </w:r>
      <w:r>
        <w:t xml:space="preserve">Fill in every blank with real names and mobile numbers, give each role a backup, then print two copies and keep them off the network. Run a tabletop drill with everyone named here at least once a year, and update the plan after every drill and every security event.</w:t>
      </w:r>
    </w:p>
    <w:bookmarkStart w:id="9" w:name="goals-and-scope-314.4h1"/>
    <w:p>
      <w:pPr>
        <w:pStyle w:val="Heading2"/>
      </w:pPr>
      <w:r>
        <w:t xml:space="preserve">1. Goals and scope (314.4(h)(1))</w:t>
      </w:r>
    </w:p>
    <w:p>
      <w:pPr>
        <w:pStyle w:val="FirstParagraph"/>
      </w:pPr>
      <w:r>
        <w:t xml:space="preserve">What this plan protects and what sets it off. Customer information in the DMS, CRM, email, F&amp;I and paper deal jackets is in scope. A security event is any unauthorized access to, or disruption or misuse of, those systems or that information.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Stores and systems covered</w:t>
            </w:r>
          </w:p>
        </w:tc>
        <w:tc>
          <w:tcPr/>
          <w:p>
            <w:pPr>
              <w:pStyle w:val="Compact"/>
            </w:pPr>
          </w:p>
        </w:tc>
      </w:tr>
      <w:tr>
        <w:tc>
          <w:tcPr/>
          <w:p>
            <w:pPr>
              <w:pStyle w:val="Compact"/>
            </w:pPr>
            <w:r>
              <w:t xml:space="preserve">What counts as an incident here</w:t>
            </w:r>
          </w:p>
        </w:tc>
        <w:tc>
          <w:tcPr/>
          <w:p>
            <w:pPr>
              <w:pStyle w:val="Compact"/>
            </w:pPr>
          </w:p>
        </w:tc>
      </w:tr>
      <w:tr>
        <w:tc>
          <w:tcPr/>
          <w:p>
            <w:pPr>
              <w:pStyle w:val="Compact"/>
            </w:pPr>
            <w:r>
              <w:t xml:space="preserve">Goals of this plan</w:t>
            </w:r>
          </w:p>
        </w:tc>
        <w:tc>
          <w:tcPr/>
          <w:p>
            <w:pPr>
              <w:pStyle w:val="Compact"/>
            </w:pPr>
          </w:p>
        </w:tc>
      </w:tr>
    </w:tbl>
    <w:bookmarkEnd w:id="9"/>
    <w:bookmarkStart w:id="10" w:name="Xe1c32ba6d53407e35d3b32e97866a91077c73e0"/>
    <w:p>
      <w:pPr>
        <w:pStyle w:val="Heading2"/>
      </w:pPr>
      <w:r>
        <w:t xml:space="preserve">2. Response team and decision authority (314.4(h)(3))</w:t>
      </w:r>
    </w:p>
    <w:p>
      <w:pPr>
        <w:pStyle w:val="FirstParagraph"/>
      </w:pPr>
      <w:r>
        <w:t xml:space="preserve">Who leads, who backs them up, and who may make the expensive calls. Every role gets a second name.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Role</w:t>
            </w:r>
          </w:p>
        </w:tc>
        <w:tc>
          <w:tcPr/>
          <w:p>
            <w:pPr>
              <w:pStyle w:val="Compact"/>
            </w:pPr>
            <w:r>
              <w:t xml:space="preserve">Name</w:t>
            </w:r>
          </w:p>
        </w:tc>
        <w:tc>
          <w:tcPr/>
          <w:p>
            <w:pPr>
              <w:pStyle w:val="Compact"/>
            </w:pPr>
            <w:r>
              <w:t xml:space="preserve">Mobile</w:t>
            </w:r>
          </w:p>
        </w:tc>
        <w:tc>
          <w:tcPr/>
          <w:p>
            <w:pPr>
              <w:pStyle w:val="Compact"/>
            </w:pPr>
            <w:r>
              <w:t xml:space="preserve">Backup</w:t>
            </w:r>
          </w:p>
        </w:tc>
      </w:tr>
      <w:tr>
        <w:tc>
          <w:tcPr/>
          <w:p>
            <w:pPr>
              <w:pStyle w:val="Compact"/>
            </w:pPr>
            <w:r>
              <w:t xml:space="preserve">Incident lead</w:t>
            </w:r>
          </w:p>
        </w:tc>
        <w:tc>
          <w:tcPr/>
          <w:p>
            <w:pPr>
              <w:pStyle w:val="Compact"/>
            </w:pPr>
          </w:p>
        </w:tc>
        <w:tc>
          <w:tcPr/>
          <w:p>
            <w:pPr>
              <w:pStyle w:val="Compact"/>
            </w:pPr>
          </w:p>
        </w:tc>
        <w:tc>
          <w:tcPr/>
          <w:p>
            <w:pPr>
              <w:pStyle w:val="Compact"/>
            </w:pPr>
          </w:p>
        </w:tc>
      </w:tr>
      <w:tr>
        <w:tc>
          <w:tcPr/>
          <w:p>
            <w:pPr>
              <w:pStyle w:val="Compact"/>
            </w:pPr>
            <w:r>
              <w:t xml:space="preserve">Can take systems offline</w:t>
            </w:r>
          </w:p>
        </w:tc>
        <w:tc>
          <w:tcPr/>
          <w:p>
            <w:pPr>
              <w:pStyle w:val="Compact"/>
            </w:pPr>
          </w:p>
        </w:tc>
        <w:tc>
          <w:tcPr/>
          <w:p>
            <w:pPr>
              <w:pStyle w:val="Compact"/>
            </w:pPr>
          </w:p>
        </w:tc>
        <w:tc>
          <w:tcPr/>
          <w:p>
            <w:pPr>
              <w:pStyle w:val="Compact"/>
            </w:pPr>
          </w:p>
        </w:tc>
      </w:tr>
      <w:tr>
        <w:tc>
          <w:tcPr/>
          <w:p>
            <w:pPr>
              <w:pStyle w:val="Compact"/>
            </w:pPr>
            <w:r>
              <w:t xml:space="preserve">Can approve outside spending (limit $_____)</w:t>
            </w:r>
          </w:p>
        </w:tc>
        <w:tc>
          <w:tcPr/>
          <w:p>
            <w:pPr>
              <w:pStyle w:val="Compact"/>
            </w:pPr>
          </w:p>
        </w:tc>
        <w:tc>
          <w:tcPr/>
          <w:p>
            <w:pPr>
              <w:pStyle w:val="Compact"/>
            </w:pPr>
          </w:p>
        </w:tc>
        <w:tc>
          <w:tcPr/>
          <w:p>
            <w:pPr>
              <w:pStyle w:val="Compact"/>
            </w:pPr>
          </w:p>
        </w:tc>
      </w:tr>
      <w:tr>
        <w:tc>
          <w:tcPr/>
          <w:p>
            <w:pPr>
              <w:pStyle w:val="Compact"/>
            </w:pPr>
            <w:r>
              <w:t xml:space="preserve">Speaks for the dealership</w:t>
            </w:r>
          </w:p>
        </w:tc>
        <w:tc>
          <w:tcPr/>
          <w:p>
            <w:pPr>
              <w:pStyle w:val="Compact"/>
            </w:pPr>
          </w:p>
        </w:tc>
        <w:tc>
          <w:tcPr/>
          <w:p>
            <w:pPr>
              <w:pStyle w:val="Compact"/>
            </w:pPr>
          </w:p>
        </w:tc>
        <w:tc>
          <w:tcPr/>
          <w:p>
            <w:pPr>
              <w:pStyle w:val="Compact"/>
            </w:pPr>
          </w:p>
        </w:tc>
      </w:tr>
      <w:tr>
        <w:tc>
          <w:tcPr/>
          <w:p>
            <w:pPr>
              <w:pStyle w:val="Compact"/>
            </w:pPr>
            <w:r>
              <w:t xml:space="preserve">Rooftop contact</w:t>
            </w:r>
          </w:p>
        </w:tc>
        <w:tc>
          <w:tcPr/>
          <w:p>
            <w:pPr>
              <w:pStyle w:val="Compact"/>
            </w:pPr>
          </w:p>
        </w:tc>
        <w:tc>
          <w:tcPr/>
          <w:p>
            <w:pPr>
              <w:pStyle w:val="Compact"/>
            </w:pPr>
          </w:p>
        </w:tc>
        <w:tc>
          <w:tcPr/>
          <w:p>
            <w:pPr>
              <w:pStyle w:val="Compact"/>
            </w:pPr>
          </w:p>
        </w:tc>
      </w:tr>
      <w:tr>
        <w:tc>
          <w:tcPr/>
          <w:p>
            <w:pPr>
              <w:pStyle w:val="Compact"/>
            </w:pPr>
            <w:r>
              <w:t xml:space="preserve">Rooftop contact</w:t>
            </w:r>
          </w:p>
        </w:tc>
        <w:tc>
          <w:tcPr/>
          <w:p>
            <w:pPr>
              <w:pStyle w:val="Compact"/>
            </w:pPr>
          </w:p>
        </w:tc>
        <w:tc>
          <w:tcPr/>
          <w:p>
            <w:pPr>
              <w:pStyle w:val="Compact"/>
            </w:pPr>
          </w:p>
        </w:tc>
        <w:tc>
          <w:tcPr/>
          <w:p>
            <w:pPr>
              <w:pStyle w:val="Compact"/>
            </w:pPr>
          </w:p>
        </w:tc>
      </w:tr>
    </w:tbl>
    <w:bookmarkEnd w:id="10"/>
    <w:bookmarkStart w:id="11" w:name="contact-sheet-314.4h4"/>
    <w:p>
      <w:pPr>
        <w:pStyle w:val="Heading2"/>
      </w:pPr>
      <w:r>
        <w:t xml:space="preserve">3. Contact sheet (314.4(h)(4))</w:t>
      </w:r>
    </w:p>
    <w:p>
      <w:pPr>
        <w:pStyle w:val="FirstParagraph"/>
      </w:pPr>
      <w:r>
        <w:t xml:space="preserve">Print this page. A contact list stored on the network is gone when the network is.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Who</w:t>
            </w:r>
          </w:p>
        </w:tc>
        <w:tc>
          <w:tcPr/>
          <w:p>
            <w:pPr>
              <w:pStyle w:val="Compact"/>
            </w:pPr>
            <w:r>
              <w:t xml:space="preserve">Company or name</w:t>
            </w:r>
          </w:p>
        </w:tc>
        <w:tc>
          <w:tcPr/>
          <w:p>
            <w:pPr>
              <w:pStyle w:val="Compact"/>
            </w:pPr>
            <w:r>
              <w:t xml:space="preserve">24-hour phone</w:t>
            </w:r>
          </w:p>
        </w:tc>
        <w:tc>
          <w:tcPr/>
          <w:p>
            <w:pPr>
              <w:pStyle w:val="Compact"/>
            </w:pPr>
            <w:r>
              <w:t xml:space="preserve">Account or policy no.</w:t>
            </w:r>
          </w:p>
        </w:tc>
      </w:tr>
      <w:tr>
        <w:tc>
          <w:tcPr/>
          <w:p>
            <w:pPr>
              <w:pStyle w:val="Compact"/>
            </w:pPr>
            <w:r>
              <w:t xml:space="preserve">IT and security provider</w:t>
            </w:r>
          </w:p>
        </w:tc>
        <w:tc>
          <w:tcPr/>
          <w:p>
            <w:pPr>
              <w:pStyle w:val="Compact"/>
            </w:pPr>
          </w:p>
        </w:tc>
        <w:tc>
          <w:tcPr/>
          <w:p>
            <w:pPr>
              <w:pStyle w:val="Compact"/>
            </w:pPr>
          </w:p>
        </w:tc>
        <w:tc>
          <w:tcPr/>
          <w:p>
            <w:pPr>
              <w:pStyle w:val="Compact"/>
            </w:pPr>
          </w:p>
        </w:tc>
      </w:tr>
      <w:tr>
        <w:tc>
          <w:tcPr/>
          <w:p>
            <w:pPr>
              <w:pStyle w:val="Compact"/>
            </w:pPr>
            <w:r>
              <w:t xml:space="preserve">DMS provider support</w:t>
            </w:r>
          </w:p>
        </w:tc>
        <w:tc>
          <w:tcPr/>
          <w:p>
            <w:pPr>
              <w:pStyle w:val="Compact"/>
            </w:pPr>
          </w:p>
        </w:tc>
        <w:tc>
          <w:tcPr/>
          <w:p>
            <w:pPr>
              <w:pStyle w:val="Compact"/>
            </w:pPr>
          </w:p>
        </w:tc>
        <w:tc>
          <w:tcPr/>
          <w:p>
            <w:pPr>
              <w:pStyle w:val="Compact"/>
            </w:pPr>
          </w:p>
        </w:tc>
      </w:tr>
      <w:tr>
        <w:tc>
          <w:tcPr/>
          <w:p>
            <w:pPr>
              <w:pStyle w:val="Compact"/>
            </w:pPr>
            <w:r>
              <w:t xml:space="preserve">Cyber insurer claims line</w:t>
            </w:r>
          </w:p>
        </w:tc>
        <w:tc>
          <w:tcPr/>
          <w:p>
            <w:pPr>
              <w:pStyle w:val="Compact"/>
            </w:pPr>
          </w:p>
        </w:tc>
        <w:tc>
          <w:tcPr/>
          <w:p>
            <w:pPr>
              <w:pStyle w:val="Compact"/>
            </w:pPr>
          </w:p>
        </w:tc>
        <w:tc>
          <w:tcPr/>
          <w:p>
            <w:pPr>
              <w:pStyle w:val="Compact"/>
            </w:pPr>
          </w:p>
        </w:tc>
      </w:tr>
      <w:tr>
        <w:tc>
          <w:tcPr/>
          <w:p>
            <w:pPr>
              <w:pStyle w:val="Compact"/>
            </w:pPr>
            <w:r>
              <w:t xml:space="preserve">Breach counsel</w:t>
            </w:r>
          </w:p>
        </w:tc>
        <w:tc>
          <w:tcPr/>
          <w:p>
            <w:pPr>
              <w:pStyle w:val="Compact"/>
            </w:pPr>
          </w:p>
        </w:tc>
        <w:tc>
          <w:tcPr/>
          <w:p>
            <w:pPr>
              <w:pStyle w:val="Compact"/>
            </w:pPr>
          </w:p>
        </w:tc>
        <w:tc>
          <w:tcPr/>
          <w:p>
            <w:pPr>
              <w:pStyle w:val="Compact"/>
            </w:pPr>
          </w:p>
        </w:tc>
      </w:tr>
      <w:tr>
        <w:tc>
          <w:tcPr/>
          <w:p>
            <w:pPr>
              <w:pStyle w:val="Compact"/>
            </w:pPr>
            <w:r>
              <w:t xml:space="preserve">Bank fraud line</w:t>
            </w:r>
          </w:p>
        </w:tc>
        <w:tc>
          <w:tcPr/>
          <w:p>
            <w:pPr>
              <w:pStyle w:val="Compact"/>
            </w:pPr>
          </w:p>
        </w:tc>
        <w:tc>
          <w:tcPr/>
          <w:p>
            <w:pPr>
              <w:pStyle w:val="Compact"/>
            </w:pPr>
          </w:p>
        </w:tc>
        <w:tc>
          <w:tcPr/>
          <w:p>
            <w:pPr>
              <w:pStyle w:val="Compact"/>
            </w:pPr>
          </w:p>
        </w:tc>
      </w:tr>
      <w:tr>
        <w:tc>
          <w:tcPr/>
          <w:p>
            <w:pPr>
              <w:pStyle w:val="Compact"/>
            </w:pPr>
            <w:r>
              <w:t xml:space="preserve">FBI field office or IC3 (ic3.gov)</w:t>
            </w:r>
          </w:p>
        </w:tc>
        <w:tc>
          <w:tcPr/>
          <w:p>
            <w:pPr>
              <w:pStyle w:val="Compact"/>
            </w:pPr>
          </w:p>
        </w:tc>
        <w:tc>
          <w:tcPr/>
          <w:p>
            <w:pPr>
              <w:pStyle w:val="Compact"/>
            </w:pPr>
          </w:p>
        </w:tc>
        <w:tc>
          <w:tcPr/>
          <w:p>
            <w:pPr>
              <w:pStyle w:val="Compact"/>
            </w:pPr>
          </w:p>
        </w:tc>
      </w:tr>
      <w:tr>
        <w:tc>
          <w:tcPr/>
          <w:p>
            <w:pPr>
              <w:pStyle w:val="Compact"/>
            </w:pPr>
            <w:r>
              <w:t xml:space="preserve">Floor plan lender</w:t>
            </w:r>
          </w:p>
        </w:tc>
        <w:tc>
          <w:tcPr/>
          <w:p>
            <w:pPr>
              <w:pStyle w:val="Compact"/>
            </w:pPr>
          </w:p>
        </w:tc>
        <w:tc>
          <w:tcPr/>
          <w:p>
            <w:pPr>
              <w:pStyle w:val="Compact"/>
            </w:pPr>
          </w:p>
        </w:tc>
        <w:tc>
          <w:tcPr/>
          <w:p>
            <w:pPr>
              <w:pStyle w:val="Compact"/>
            </w:pPr>
          </w:p>
        </w:tc>
      </w:tr>
      <w:tr>
        <w:tc>
          <w:tcPr/>
          <w:p>
            <w:pPr>
              <w:pStyle w:val="Compact"/>
            </w:pPr>
            <w:r>
              <w:t xml:space="preserve">OEM contact</w:t>
            </w:r>
          </w:p>
        </w:tc>
        <w:tc>
          <w:tcPr/>
          <w:p>
            <w:pPr>
              <w:pStyle w:val="Compact"/>
            </w:pPr>
          </w:p>
        </w:tc>
        <w:tc>
          <w:tcPr/>
          <w:p>
            <w:pPr>
              <w:pStyle w:val="Compact"/>
            </w:pPr>
          </w:p>
        </w:tc>
        <w:tc>
          <w:tcPr/>
          <w:p>
            <w:pPr>
              <w:pStyle w:val="Compact"/>
            </w:pPr>
          </w:p>
        </w:tc>
      </w:tr>
    </w:tbl>
    <w:bookmarkEnd w:id="11"/>
    <w:bookmarkStart w:id="12" w:name="the-first-hour-314.4h2"/>
    <w:p>
      <w:pPr>
        <w:pStyle w:val="Heading2"/>
      </w:pPr>
      <w:r>
        <w:t xml:space="preserve">4. The first hour (314.4(h)(2))</w:t>
      </w:r>
    </w:p>
    <w:p>
      <w:pPr>
        <w:pStyle w:val="FirstParagraph"/>
      </w:pPr>
      <w:r>
        <w:t xml:space="preserve">Report it to the incident lead. Unplug the affected machine from the network but leave it powered on. Do not wipe, reinstall or pay anything until the security team says so.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How staff report an incident</w:t>
            </w:r>
          </w:p>
        </w:tc>
        <w:tc>
          <w:tcPr/>
          <w:p>
            <w:pPr>
              <w:pStyle w:val="Compact"/>
            </w:pPr>
          </w:p>
        </w:tc>
      </w:tr>
      <w:tr>
        <w:tc>
          <w:tcPr/>
          <w:p>
            <w:pPr>
              <w:pStyle w:val="Compact"/>
            </w:pPr>
            <w:r>
              <w:t xml:space="preserve">Who disconnects what</w:t>
            </w:r>
          </w:p>
        </w:tc>
        <w:tc>
          <w:tcPr/>
          <w:p>
            <w:pPr>
              <w:pStyle w:val="Compact"/>
            </w:pPr>
          </w:p>
        </w:tc>
      </w:tr>
      <w:tr>
        <w:tc>
          <w:tcPr/>
          <w:p>
            <w:pPr>
              <w:pStyle w:val="Compact"/>
            </w:pPr>
            <w:r>
              <w:t xml:space="preserve">Where the first notes go</w:t>
            </w:r>
          </w:p>
        </w:tc>
        <w:tc>
          <w:tcPr/>
          <w:p>
            <w:pPr>
              <w:pStyle w:val="Compact"/>
            </w:pPr>
          </w:p>
        </w:tc>
      </w:tr>
    </w:tbl>
    <w:bookmarkEnd w:id="12"/>
    <w:bookmarkStart w:id="13" w:name="investigate-and-size-it-314.4h2-314.4j2"/>
    <w:p>
      <w:pPr>
        <w:pStyle w:val="Heading2"/>
      </w:pPr>
      <w:r>
        <w:t xml:space="preserve">5. Investigate and size it (314.4(h)(2), 314.4(j)(2))</w:t>
      </w:r>
    </w:p>
    <w:p>
      <w:pPr>
        <w:pStyle w:val="FirstParagraph"/>
      </w:pPr>
      <w:r>
        <w:t xml:space="preserve">Which stores, systems and customer records are involved, and was information copied out or only locked? Discovery is the first day any employee other than the attacker knew.</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Systems and stores affected</w:t>
            </w:r>
          </w:p>
        </w:tc>
        <w:tc>
          <w:tcPr/>
          <w:p>
            <w:pPr>
              <w:pStyle w:val="Compact"/>
            </w:pPr>
          </w:p>
        </w:tc>
      </w:tr>
      <w:tr>
        <w:tc>
          <w:tcPr/>
          <w:p>
            <w:pPr>
              <w:pStyle w:val="Compact"/>
            </w:pPr>
            <w:r>
              <w:t xml:space="preserve">Records involved (type and count)</w:t>
            </w:r>
          </w:p>
        </w:tc>
        <w:tc>
          <w:tcPr/>
          <w:p>
            <w:pPr>
              <w:pStyle w:val="Compact"/>
            </w:pPr>
          </w:p>
        </w:tc>
      </w:tr>
      <w:tr>
        <w:tc>
          <w:tcPr/>
          <w:p>
            <w:pPr>
              <w:pStyle w:val="Compact"/>
            </w:pPr>
            <w:r>
              <w:t xml:space="preserve">Date and time discovered</w:t>
            </w:r>
          </w:p>
        </w:tc>
        <w:tc>
          <w:tcPr/>
          <w:p>
            <w:pPr>
              <w:pStyle w:val="Compact"/>
            </w:pPr>
          </w:p>
        </w:tc>
      </w:tr>
      <w:tr>
        <w:tc>
          <w:tcPr/>
          <w:p>
            <w:pPr>
              <w:pStyle w:val="Compact"/>
            </w:pPr>
            <w:r>
              <w:t xml:space="preserve">Taken, locked or both</w:t>
            </w:r>
          </w:p>
        </w:tc>
        <w:tc>
          <w:tcPr/>
          <w:p>
            <w:pPr>
              <w:pStyle w:val="Compact"/>
            </w:pPr>
          </w:p>
        </w:tc>
      </w:tr>
    </w:tbl>
    <w:bookmarkEnd w:id="13"/>
    <w:bookmarkStart w:id="14" w:name="communications-314.4h4"/>
    <w:p>
      <w:pPr>
        <w:pStyle w:val="Heading2"/>
      </w:pPr>
      <w:r>
        <w:t xml:space="preserve">6. Communications (314.4(h)(4))</w:t>
      </w:r>
    </w:p>
    <w:p>
      <w:pPr>
        <w:pStyle w:val="FirstParagraph"/>
      </w:pPr>
      <w:r>
        <w:t xml:space="preserve">Who says what to staff, customers, lenders, your OEM, vendors and the press. One person speaks to reporters.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Staff script owner</w:t>
            </w:r>
          </w:p>
        </w:tc>
        <w:tc>
          <w:tcPr/>
          <w:p>
            <w:pPr>
              <w:pStyle w:val="Compact"/>
            </w:pPr>
          </w:p>
        </w:tc>
      </w:tr>
      <w:tr>
        <w:tc>
          <w:tcPr/>
          <w:p>
            <w:pPr>
              <w:pStyle w:val="Compact"/>
            </w:pPr>
            <w:r>
              <w:t xml:space="preserve">Customer letter owner</w:t>
            </w:r>
          </w:p>
        </w:tc>
        <w:tc>
          <w:tcPr/>
          <w:p>
            <w:pPr>
              <w:pStyle w:val="Compact"/>
            </w:pPr>
          </w:p>
        </w:tc>
      </w:tr>
      <w:tr>
        <w:tc>
          <w:tcPr/>
          <w:p>
            <w:pPr>
              <w:pStyle w:val="Compact"/>
            </w:pPr>
            <w:r>
              <w:t xml:space="preserve">Lender, OEM and vendor notices</w:t>
            </w:r>
          </w:p>
        </w:tc>
        <w:tc>
          <w:tcPr/>
          <w:p>
            <w:pPr>
              <w:pStyle w:val="Compact"/>
            </w:pPr>
          </w:p>
        </w:tc>
      </w:tr>
      <w:tr>
        <w:tc>
          <w:tcPr/>
          <w:p>
            <w:pPr>
              <w:pStyle w:val="Compact"/>
            </w:pPr>
            <w:r>
              <w:t xml:space="preserve">Media contact</w:t>
            </w:r>
          </w:p>
        </w:tc>
        <w:tc>
          <w:tcPr/>
          <w:p>
            <w:pPr>
              <w:pStyle w:val="Compact"/>
            </w:pPr>
          </w:p>
        </w:tc>
      </w:tr>
    </w:tbl>
    <w:bookmarkEnd w:id="14"/>
    <w:bookmarkStart w:id="15" w:name="notification-deadlines-314.4h4-314.4j"/>
    <w:p>
      <w:pPr>
        <w:pStyle w:val="Heading2"/>
      </w:pPr>
      <w:r>
        <w:t xml:space="preserve">7. Notification deadlines (314.4(h)(4), 314.4(j))</w:t>
      </w:r>
    </w:p>
    <w:p>
      <w:pPr>
        <w:pStyle w:val="FirstParagraph"/>
      </w:pPr>
      <w:r>
        <w:t xml:space="preserve">Complete the notification sheet at the start of every incident, with counsel. Note why each notice does or does not apply.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FTC notice owner</w:t>
            </w:r>
          </w:p>
        </w:tc>
        <w:tc>
          <w:tcPr/>
          <w:p>
            <w:pPr>
              <w:pStyle w:val="Compact"/>
            </w:pPr>
          </w:p>
        </w:tc>
      </w:tr>
      <w:tr>
        <w:tc>
          <w:tcPr/>
          <w:p>
            <w:pPr>
              <w:pStyle w:val="Compact"/>
            </w:pPr>
            <w:r>
              <w:t xml:space="preserve">States where affected customers live</w:t>
            </w:r>
          </w:p>
        </w:tc>
        <w:tc>
          <w:tcPr/>
          <w:p>
            <w:pPr>
              <w:pStyle w:val="Compact"/>
            </w:pPr>
          </w:p>
        </w:tc>
      </w:tr>
      <w:tr>
        <w:tc>
          <w:tcPr/>
          <w:p>
            <w:pPr>
              <w:pStyle w:val="Compact"/>
            </w:pPr>
            <w:r>
              <w:t xml:space="preserve">Insurer notice deadline (from the policy)</w:t>
            </w:r>
          </w:p>
        </w:tc>
        <w:tc>
          <w:tcPr/>
          <w:p>
            <w:pPr>
              <w:pStyle w:val="Compact"/>
            </w:pPr>
          </w:p>
        </w:tc>
      </w:tr>
    </w:tbl>
    <w:bookmarkEnd w:id="15"/>
    <w:bookmarkStart w:id="16" w:name="recover-and-fix-the-weakness-314.4h5"/>
    <w:p>
      <w:pPr>
        <w:pStyle w:val="Heading2"/>
      </w:pPr>
      <w:r>
        <w:t xml:space="preserve">8. Recover and fix the weakness (314.4(h)(5))</w:t>
      </w:r>
    </w:p>
    <w:p>
      <w:pPr>
        <w:pStyle w:val="FirstParagraph"/>
      </w:pPr>
      <w:r>
        <w:t xml:space="preserve">Confirm backups are clean before restoring, reset passwords and MFA, and close the way the attacker got in.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Who checks the backups</w:t>
            </w:r>
          </w:p>
        </w:tc>
        <w:tc>
          <w:tcPr/>
          <w:p>
            <w:pPr>
              <w:pStyle w:val="Compact"/>
            </w:pPr>
          </w:p>
        </w:tc>
      </w:tr>
      <w:tr>
        <w:tc>
          <w:tcPr/>
          <w:p>
            <w:pPr>
              <w:pStyle w:val="Compact"/>
            </w:pPr>
            <w:r>
              <w:t xml:space="preserve">Who resets passwords and MFA</w:t>
            </w:r>
          </w:p>
        </w:tc>
        <w:tc>
          <w:tcPr/>
          <w:p>
            <w:pPr>
              <w:pStyle w:val="Compact"/>
            </w:pPr>
          </w:p>
        </w:tc>
      </w:tr>
      <w:tr>
        <w:tc>
          <w:tcPr/>
          <w:p>
            <w:pPr>
              <w:pStyle w:val="Compact"/>
            </w:pPr>
            <w:r>
              <w:t xml:space="preserve">Who confirms the fix</w:t>
            </w:r>
          </w:p>
        </w:tc>
        <w:tc>
          <w:tcPr/>
          <w:p>
            <w:pPr>
              <w:pStyle w:val="Compact"/>
            </w:pPr>
          </w:p>
        </w:tc>
      </w:tr>
    </w:tbl>
    <w:bookmarkEnd w:id="16"/>
    <w:bookmarkStart w:id="17" w:name="keep-the-record-314.4h6"/>
    <w:p>
      <w:pPr>
        <w:pStyle w:val="Heading2"/>
      </w:pPr>
      <w:r>
        <w:t xml:space="preserve">9. Keep the record (314.4(h)(6))</w:t>
      </w:r>
    </w:p>
    <w:p>
      <w:pPr>
        <w:pStyle w:val="FirstParagraph"/>
      </w:pPr>
      <w:r>
        <w:t xml:space="preserve">Keep a log from the first report to the all-clear: times, decisions, who was called, what was disconnected and what it cost. Use the incident log page.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Log keeper</w:t>
            </w:r>
          </w:p>
        </w:tc>
        <w:tc>
          <w:tcPr/>
          <w:p>
            <w:pPr>
              <w:pStyle w:val="Compact"/>
            </w:pPr>
          </w:p>
        </w:tc>
      </w:tr>
      <w:tr>
        <w:tc>
          <w:tcPr/>
          <w:p>
            <w:pPr>
              <w:pStyle w:val="Compact"/>
            </w:pPr>
            <w:r>
              <w:t xml:space="preserve">Where the log is stored</w:t>
            </w:r>
          </w:p>
        </w:tc>
        <w:tc>
          <w:tcPr/>
          <w:p>
            <w:pPr>
              <w:pStyle w:val="Compact"/>
            </w:pPr>
          </w:p>
        </w:tc>
      </w:tr>
    </w:tbl>
    <w:bookmarkEnd w:id="17"/>
    <w:bookmarkStart w:id="18" w:name="review-and-update-314.4h7"/>
    <w:p>
      <w:pPr>
        <w:pStyle w:val="Heading2"/>
      </w:pPr>
      <w:r>
        <w:t xml:space="preserve">10. Review and update (314.4(h)(7))</w:t>
      </w:r>
    </w:p>
    <w:p>
      <w:pPr>
        <w:pStyle w:val="FirstParagraph"/>
      </w:pPr>
      <w:r>
        <w:t xml:space="preserve">After every security event, review what worked and what did not, update this plan and date the new version. Drill at least once a year and after a new store, a DMS conversion or a change in a named role.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Item</w:t>
            </w:r>
          </w:p>
        </w:tc>
        <w:tc>
          <w:tcPr/>
          <w:p>
            <w:pPr>
              <w:pStyle w:val="Compact"/>
            </w:pPr>
            <w:r>
              <w:t xml:space="preserve">Fill in</w:t>
            </w:r>
          </w:p>
        </w:tc>
      </w:tr>
      <w:tr>
        <w:tc>
          <w:tcPr/>
          <w:p>
            <w:pPr>
              <w:pStyle w:val="Compact"/>
            </w:pPr>
            <w:r>
              <w:t xml:space="preserve">Review owner</w:t>
            </w:r>
          </w:p>
        </w:tc>
        <w:tc>
          <w:tcPr/>
          <w:p>
            <w:pPr>
              <w:pStyle w:val="Compact"/>
            </w:pPr>
          </w:p>
        </w:tc>
      </w:tr>
      <w:tr>
        <w:tc>
          <w:tcPr/>
          <w:p>
            <w:pPr>
              <w:pStyle w:val="Compact"/>
            </w:pPr>
            <w:r>
              <w:t xml:space="preserve">Last drill date</w:t>
            </w:r>
          </w:p>
        </w:tc>
        <w:tc>
          <w:tcPr/>
          <w:p>
            <w:pPr>
              <w:pStyle w:val="Compact"/>
            </w:pPr>
          </w:p>
        </w:tc>
      </w:tr>
      <w:tr>
        <w:tc>
          <w:tcPr/>
          <w:p>
            <w:pPr>
              <w:pStyle w:val="Compact"/>
            </w:pPr>
            <w:r>
              <w:t xml:space="preserve">Next review date</w:t>
            </w:r>
          </w:p>
        </w:tc>
        <w:tc>
          <w:tcPr/>
          <w:p>
            <w:pPr>
              <w:pStyle w:val="Compact"/>
            </w:pPr>
          </w:p>
        </w:tc>
      </w:tr>
    </w:tbl>
    <w:bookmarkEnd w:id="18"/>
    <w:bookmarkStart w:id="19" w:name="notification-sheet"/>
    <w:p>
      <w:pPr>
        <w:pStyle w:val="Heading2"/>
      </w:pPr>
      <w:r>
        <w:t xml:space="preserve">Notification sheet</w:t>
      </w:r>
    </w:p>
    <w:p>
      <w:pPr>
        <w:pStyle w:val="FirstParagraph"/>
      </w:pPr>
      <w:r>
        <w:t xml:space="preserve">Complete at the start of every incident, with counsel.</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Who</w:t>
            </w:r>
          </w:p>
        </w:tc>
        <w:tc>
          <w:tcPr/>
          <w:p>
            <w:pPr>
              <w:pStyle w:val="Compact"/>
            </w:pPr>
            <w:r>
              <w:t xml:space="preserve">Rule or source</w:t>
            </w:r>
          </w:p>
        </w:tc>
        <w:tc>
          <w:tcPr/>
          <w:p>
            <w:pPr>
              <w:pStyle w:val="Compact"/>
            </w:pPr>
            <w:r>
              <w:t xml:space="preserve">Deadline</w:t>
            </w:r>
          </w:p>
        </w:tc>
        <w:tc>
          <w:tcPr/>
          <w:p>
            <w:pPr>
              <w:pStyle w:val="Compact"/>
            </w:pPr>
            <w:r>
              <w:t xml:space="preserve">Applies? Why</w:t>
            </w:r>
          </w:p>
        </w:tc>
        <w:tc>
          <w:tcPr/>
          <w:p>
            <w:pPr>
              <w:pStyle w:val="Compact"/>
            </w:pPr>
            <w:r>
              <w:t xml:space="preserve">Owner</w:t>
            </w:r>
          </w:p>
        </w:tc>
        <w:tc>
          <w:tcPr/>
          <w:p>
            <w:pPr>
              <w:pStyle w:val="Compact"/>
            </w:pPr>
            <w:r>
              <w:t xml:space="preserve">Date sent</w:t>
            </w:r>
          </w:p>
        </w:tc>
      </w:tr>
      <w:tr>
        <w:tc>
          <w:tcPr/>
          <w:p>
            <w:pPr>
              <w:pStyle w:val="Compact"/>
            </w:pPr>
            <w:r>
              <w:t xml:space="preserve">Federal Trade Commission</w:t>
            </w:r>
          </w:p>
        </w:tc>
        <w:tc>
          <w:tcPr/>
          <w:p>
            <w:pPr>
              <w:pStyle w:val="Compact"/>
            </w:pPr>
            <w:r>
              <w:t xml:space="preserve">16 CFR 314.4(j)</w:t>
            </w:r>
          </w:p>
        </w:tc>
        <w:tc>
          <w:tcPr/>
          <w:p>
            <w:pPr>
              <w:pStyle w:val="Compact"/>
            </w:pPr>
            <w:r>
              <w:t xml:space="preserve">30 days from discovery, if unencrypted data on 500+ consumers was acquired</w:t>
            </w:r>
          </w:p>
        </w:tc>
        <w:tc>
          <w:tcPr/>
          <w:p>
            <w:pPr>
              <w:pStyle w:val="Compact"/>
            </w:pPr>
          </w:p>
        </w:tc>
        <w:tc>
          <w:tcPr/>
          <w:p>
            <w:pPr>
              <w:pStyle w:val="Compact"/>
            </w:pPr>
          </w:p>
        </w:tc>
        <w:tc>
          <w:tcPr/>
          <w:p>
            <w:pPr>
              <w:pStyle w:val="Compact"/>
            </w:pPr>
          </w:p>
        </w:tc>
      </w:tr>
      <w:tr>
        <w:tc>
          <w:tcPr/>
          <w:p>
            <w:pPr>
              <w:pStyle w:val="Compact"/>
            </w:pPr>
            <w:r>
              <w:t xml:space="preserve">State attorneys general and residents</w:t>
            </w:r>
          </w:p>
        </w:tc>
        <w:tc>
          <w:tcPr/>
          <w:p>
            <w:pPr>
              <w:pStyle w:val="Compact"/>
            </w:pPr>
            <w:r>
              <w:t xml:space="preserve">Each state’s breach law</w:t>
            </w:r>
          </w:p>
        </w:tc>
        <w:tc>
          <w:tcPr/>
          <w:p>
            <w:pPr>
              <w:pStyle w:val="Compact"/>
            </w:pPr>
            <w:r>
              <w:t xml:space="preserve">Varies by state</w:t>
            </w:r>
          </w:p>
        </w:tc>
        <w:tc>
          <w:tcPr/>
          <w:p>
            <w:pPr>
              <w:pStyle w:val="Compact"/>
            </w:pPr>
          </w:p>
        </w:tc>
        <w:tc>
          <w:tcPr/>
          <w:p>
            <w:pPr>
              <w:pStyle w:val="Compact"/>
            </w:pPr>
          </w:p>
        </w:tc>
        <w:tc>
          <w:tcPr/>
          <w:p>
            <w:pPr>
              <w:pStyle w:val="Compact"/>
            </w:pPr>
          </w:p>
        </w:tc>
      </w:tr>
      <w:tr>
        <w:tc>
          <w:tcPr/>
          <w:p>
            <w:pPr>
              <w:pStyle w:val="Compact"/>
            </w:pPr>
            <w:r>
              <w:t xml:space="preserve">Cyber insurer</w:t>
            </w:r>
          </w:p>
        </w:tc>
        <w:tc>
          <w:tcPr/>
          <w:p>
            <w:pPr>
              <w:pStyle w:val="Compact"/>
            </w:pPr>
            <w:r>
              <w:t xml:space="preserve">Policy notice clause</w:t>
            </w:r>
          </w:p>
        </w:tc>
        <w:tc>
          <w:tcPr/>
          <w:p>
            <w:pPr>
              <w:pStyle w:val="Compact"/>
            </w:pPr>
            <w:r>
              <w:t xml:space="preserve">Per policy</w:t>
            </w:r>
          </w:p>
        </w:tc>
        <w:tc>
          <w:tcPr/>
          <w:p>
            <w:pPr>
              <w:pStyle w:val="Compact"/>
            </w:pPr>
          </w:p>
        </w:tc>
        <w:tc>
          <w:tcPr/>
          <w:p>
            <w:pPr>
              <w:pStyle w:val="Compact"/>
            </w:pPr>
          </w:p>
        </w:tc>
        <w:tc>
          <w:tcPr/>
          <w:p>
            <w:pPr>
              <w:pStyle w:val="Compact"/>
            </w:pPr>
          </w:p>
        </w:tc>
      </w:tr>
      <w:tr>
        <w:tc>
          <w:tcPr/>
          <w:p>
            <w:pPr>
              <w:pStyle w:val="Compact"/>
            </w:pPr>
            <w:r>
              <w:t xml:space="preserve">Law enforcement (FBI, IC3)</w:t>
            </w:r>
          </w:p>
        </w:tc>
        <w:tc>
          <w:tcPr/>
          <w:p>
            <w:pPr>
              <w:pStyle w:val="Compact"/>
            </w:pPr>
            <w:r>
              <w:t xml:space="preserve">Voluntary</w:t>
            </w:r>
          </w:p>
        </w:tc>
        <w:tc>
          <w:tcPr/>
          <w:p>
            <w:pPr>
              <w:pStyle w:val="Compact"/>
            </w:pPr>
            <w:r>
              <w:t xml:space="preserve">No fixed federal deadline</w:t>
            </w:r>
          </w:p>
        </w:tc>
        <w:tc>
          <w:tcPr/>
          <w:p>
            <w:pPr>
              <w:pStyle w:val="Compact"/>
            </w:pPr>
          </w:p>
        </w:tc>
        <w:tc>
          <w:tcPr/>
          <w:p>
            <w:pPr>
              <w:pStyle w:val="Compact"/>
            </w:pPr>
          </w:p>
        </w:tc>
        <w:tc>
          <w:tcPr/>
          <w:p>
            <w:pPr>
              <w:pStyle w:val="Compact"/>
            </w:pPr>
          </w:p>
        </w:tc>
      </w:tr>
      <w:tr>
        <w:tc>
          <w:tcPr/>
          <w:p>
            <w:pPr>
              <w:pStyle w:val="Compact"/>
            </w:pPr>
            <w:r>
              <w:t xml:space="preserve">Lenders, OEM, DMS and other vendors</w:t>
            </w:r>
          </w:p>
        </w:tc>
        <w:tc>
          <w:tcPr/>
          <w:p>
            <w:pPr>
              <w:pStyle w:val="Compact"/>
            </w:pPr>
            <w:r>
              <w:t xml:space="preserve">Each agreement</w:t>
            </w:r>
          </w:p>
        </w:tc>
        <w:tc>
          <w:tcPr/>
          <w:p>
            <w:pPr>
              <w:pStyle w:val="Compact"/>
            </w:pPr>
            <w:r>
              <w:t xml:space="preserve">Per contract</w:t>
            </w:r>
          </w:p>
        </w:tc>
        <w:tc>
          <w:tcPr/>
          <w:p>
            <w:pPr>
              <w:pStyle w:val="Compact"/>
            </w:pPr>
          </w:p>
        </w:tc>
        <w:tc>
          <w:tcPr/>
          <w:p>
            <w:pPr>
              <w:pStyle w:val="Compact"/>
            </w:pPr>
          </w:p>
        </w:tc>
        <w:tc>
          <w:tcPr/>
          <w:p>
            <w:pPr>
              <w:pStyle w:val="Compact"/>
            </w:pPr>
          </w:p>
        </w:tc>
      </w:tr>
      <w:tr>
        <w:tc>
          <w:tcPr/>
          <w:p>
            <w:pPr>
              <w:pStyle w:val="Compact"/>
            </w:pPr>
            <w:r>
              <w:t xml:space="preserve">SEC (publicly traded groups only)</w:t>
            </w:r>
          </w:p>
        </w:tc>
        <w:tc>
          <w:tcPr/>
          <w:p>
            <w:pPr>
              <w:pStyle w:val="Compact"/>
            </w:pPr>
            <w:r>
              <w:t xml:space="preserve">Form 8-K, Item 1.05</w:t>
            </w:r>
          </w:p>
        </w:tc>
        <w:tc>
          <w:tcPr/>
          <w:p>
            <w:pPr>
              <w:pStyle w:val="Compact"/>
            </w:pPr>
            <w:r>
              <w:t xml:space="preserve">Generally 4 business days after deciding it is material</w:t>
            </w:r>
          </w:p>
        </w:tc>
        <w:tc>
          <w:tcPr/>
          <w:p>
            <w:pPr>
              <w:pStyle w:val="Compact"/>
            </w:pPr>
          </w:p>
        </w:tc>
        <w:tc>
          <w:tcPr/>
          <w:p>
            <w:pPr>
              <w:pStyle w:val="Compact"/>
            </w:pPr>
          </w:p>
        </w:tc>
        <w:tc>
          <w:tcPr/>
          <w:p>
            <w:pPr>
              <w:pStyle w:val="Compact"/>
            </w:pPr>
          </w:p>
        </w:tc>
      </w:tr>
    </w:tbl>
    <w:bookmarkEnd w:id="19"/>
    <w:bookmarkStart w:id="20" w:name="incident-log"/>
    <w:p>
      <w:pPr>
        <w:pStyle w:val="Heading2"/>
      </w:pPr>
      <w:r>
        <w:t xml:space="preserve">Incident log</w:t>
      </w:r>
    </w:p>
    <w:p>
      <w:pPr>
        <w:pStyle w:val="FirstParagraph"/>
      </w:pPr>
      <w:r>
        <w:t xml:space="preserve">Start at the first report and keep it going until the all-clear.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Date and time</w:t>
            </w:r>
          </w:p>
        </w:tc>
        <w:tc>
          <w:tcPr/>
          <w:p>
            <w:pPr>
              <w:pStyle w:val="Compact"/>
            </w:pPr>
            <w:r>
              <w:t xml:space="preserve">What happened or was decided</w:t>
            </w:r>
          </w:p>
        </w:tc>
        <w:tc>
          <w:tcPr/>
          <w:p>
            <w:pPr>
              <w:pStyle w:val="Compact"/>
            </w:pPr>
            <w:r>
              <w:t xml:space="preserve">Who</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r>
        <w:rPr>
          <w:b/>
          <w:bCs/>
        </w:rPr>
        <w:t xml:space="preserve">Want a second set of eyes on your plan?</w:t>
      </w:r>
      <w:r>
        <w:t xml:space="preserve"> </w:t>
      </w:r>
      <w:r>
        <w:t xml:space="preserve">Bring it to a complimentary IT and cybersecurity assessment. https://heliontechnologies.com/it-assessment/</w:t>
      </w:r>
    </w:p>
    <w:p>
      <w:pPr>
        <w:pStyle w:val="BodyText"/>
      </w:pPr>
      <w:r>
        <w:t xml:space="preserve">Areas from 16 CFR 314.4(h), Standards for Safeguarding Customer Information, as of October 2026. Dealerships with customer information on fewer than 5,000 consumers are exempt from the written plan under 314.6; the FTC notice in 314.4(j) applies at any size. This template is a planning aid, not legal advice. © 2026 Helion Technologies. https://heliontechnologies.com/incident-response-plan-template/</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sz w:val="24"/>
        <w:szCs w:val="24"/>
        <w:lang w:bidi="ar-SA" w:eastAsia="Arial"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sz w:val="56"/>
      <w:szCs w:val="56"/>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pPr>
    <w:rPr>
      <w:rFonts/>
      <w:spacing w:val="15"/>
      <w:sz w:val="28"/>
      <w:szCs w:val="28"/>
    </w:rPr>
  </w:style>
  <w:style w:customStyle="1" w:styleId="SubtitleChar" w:type="character">
    <w:name w:val="Subtitle Char"/>
    <w:basedOn w:val="DefaultParagraphFont"/>
    <w:link w:val="Subtitle"/>
    <w:uiPriority w:val="11"/>
    <w:rsid w:val="00A10FD9"/>
    <w:rPr>
      <w:rFonts/>
      <w:color w:themeColor="text1" w:themeTint="A6" w:val="1F1E1C"/>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color w:themeColor="accent1" w:themeShade="BF" w:val="1F1E1C"/>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color w:themeColor="accent1" w:themeShade="BF" w:val="E8740C"/>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olor w:themeColor="accent1" w:themeShade="BF" w:val="1F1E1C"/>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i/>
      <w:iCs/>
      <w:color w:themeColor="accent1" w:themeShade="BF" w:val="1F1E1C"/>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olor w:themeColor="accent1" w:themeShade="BF" w:val="1F1E1C"/>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i/>
      <w:iCs/>
      <w:color w:themeColor="text1" w:themeTint="A6" w:val="1F1E1C"/>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olor w:themeColor="text1" w:themeTint="A6" w:val="1F1E1C"/>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i/>
      <w:iCs/>
      <w:color w:themeColor="text1" w:themeTint="D8" w:val="1F1E1C"/>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olor w:themeColor="text1" w:themeTint="D8" w:val="1F1E1C"/>
    </w:rPr>
  </w:style>
  <w:style w:customStyle="1" w:styleId="Heading1Char" w:type="character">
    <w:name w:val="Heading 1 Char"/>
    <w:basedOn w:val="DefaultParagraphFont"/>
    <w:link w:val="Heading1"/>
    <w:uiPriority w:val="9"/>
    <w:rsid w:val="00A10FD9"/>
    <w:rPr>
      <w:rFonts/>
      <w:color w:themeColor="accent1" w:themeShade="BF" w:val="1F1E1C"/>
      <w:sz w:val="40"/>
      <w:szCs w:val="40"/>
    </w:rPr>
  </w:style>
  <w:style w:customStyle="1" w:styleId="Heading2Char" w:type="character">
    <w:name w:val="Heading 2 Char"/>
    <w:basedOn w:val="DefaultParagraphFont"/>
    <w:link w:val="Heading2"/>
    <w:uiPriority w:val="9"/>
    <w:semiHidden/>
    <w:rsid w:val="00A10FD9"/>
    <w:rPr>
      <w:rFonts/>
      <w:color w:themeColor="accent1" w:themeShade="BF" w:val="1F1E1C"/>
      <w:sz w:val="32"/>
      <w:szCs w:val="32"/>
    </w:rPr>
  </w:style>
  <w:style w:customStyle="1" w:styleId="Heading3Char" w:type="character">
    <w:name w:val="Heading 3 Char"/>
    <w:basedOn w:val="DefaultParagraphFont"/>
    <w:link w:val="Heading3"/>
    <w:uiPriority w:val="9"/>
    <w:semiHidden/>
    <w:rsid w:val="00A10FD9"/>
    <w:rPr>
      <w:rFonts/>
      <w:color w:themeColor="accent1" w:themeShade="BF" w:val="1F1E1C"/>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1F1E1C"/>
    </w:rPr>
  </w:style>
  <w:style w:customStyle="1" w:styleId="Heading5Char" w:type="character">
    <w:name w:val="Heading 5 Char"/>
    <w:basedOn w:val="DefaultParagraphFont"/>
    <w:link w:val="Heading5"/>
    <w:uiPriority w:val="9"/>
    <w:semiHidden/>
    <w:rsid w:val="00A10FD9"/>
    <w:rPr>
      <w:rFonts/>
      <w:color w:themeColor="accent1" w:themeShade="BF" w:val="1F1E1C"/>
    </w:rPr>
  </w:style>
  <w:style w:customStyle="1" w:styleId="Heading6Char" w:type="character">
    <w:name w:val="Heading 6 Char"/>
    <w:basedOn w:val="DefaultParagraphFont"/>
    <w:link w:val="Heading6"/>
    <w:uiPriority w:val="9"/>
    <w:semiHidden/>
    <w:rsid w:val="00A10FD9"/>
    <w:rPr>
      <w:rFonts/>
      <w:i/>
      <w:iCs/>
      <w:color w:themeColor="text1" w:themeTint="A6" w:val="1F1E1C"/>
    </w:rPr>
  </w:style>
  <w:style w:customStyle="1" w:styleId="Heading7Char" w:type="character">
    <w:name w:val="Heading 7 Char"/>
    <w:basedOn w:val="DefaultParagraphFont"/>
    <w:link w:val="Heading7"/>
    <w:uiPriority w:val="9"/>
    <w:semiHidden/>
    <w:rsid w:val="00A10FD9"/>
    <w:rPr>
      <w:rFonts/>
      <w:color w:themeColor="text1" w:themeTint="A6" w:val="1F1E1C"/>
    </w:rPr>
  </w:style>
  <w:style w:customStyle="1" w:styleId="Heading8Char" w:type="character">
    <w:name w:val="Heading 8 Char"/>
    <w:basedOn w:val="DefaultParagraphFont"/>
    <w:link w:val="Heading8"/>
    <w:uiPriority w:val="9"/>
    <w:semiHidden/>
    <w:rsid w:val="00A10FD9"/>
    <w:rPr>
      <w:rFonts/>
      <w:i/>
      <w:iCs/>
      <w:color w:themeColor="text1" w:themeTint="D8" w:val="1F1E1C"/>
    </w:rPr>
  </w:style>
  <w:style w:customStyle="1" w:styleId="Heading9Char" w:type="character">
    <w:name w:val="Heading 9 Char"/>
    <w:basedOn w:val="DefaultParagraphFont"/>
    <w:link w:val="Heading9"/>
    <w:uiPriority w:val="9"/>
    <w:semiHidden/>
    <w:rsid w:val="00A10FD9"/>
    <w:rPr>
      <w:rFonts/>
      <w:color w:themeColor="text1" w:themeTint="D8" w:val="1F1E1C"/>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BDB6A8" w:space="0" w:sz="4" w:val="single"/>
        <w:left w:color="BDB6A8" w:space="0" w:sz="4" w:val="single"/>
        <w:bottom w:color="BDB6A8" w:space="0" w:sz="4" w:val="single"/>
        <w:right w:color="BDB6A8" w:space="0" w:sz="4" w:val="single"/>
        <w:insideH w:color="BDB6A8" w:space="0" w:sz="4" w:val="single"/>
        <w:insideV w:color="BDB6A8" w:space="0" w:sz="4" w:val="single"/>
      </w:tblBorders>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F1E1C"/>
    </w:rPr>
  </w:style>
  <w:style w:styleId="TOCHeading" w:type="paragraph">
    <w:name w:val="TOC Heading"/>
    <w:basedOn w:val="Heading1"/>
    <w:next w:val="BodyText"/>
    <w:uiPriority w:val="39"/>
    <w:unhideWhenUsed/>
    <w:qFormat/>
    <w:pPr>
      <w:spacing w:before="240" w:line="259" w:lineRule="auto"/>
      <w:outlineLvl w:val="9"/>
    </w:pPr>
    <w:rPr>
      <w:rFonts/>
      <w:b w:val="0"/>
      <w:bCs w:val="0"/>
      <w:color w:themeColor="accent1" w:themeShade="BF" w:val="1F1E1C"/>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dc:title>
  <dc:creator>Helion Technologies</dc:creator>
  <cp:keywords/>
  <dcterms:created xsi:type="dcterms:W3CDTF">2026-10-14T13:34:26Z</dcterms:created>
  <dcterms:modified xsi:type="dcterms:W3CDTF">2026-10-14T13:34:26Z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Dealership incident response plan template, covering the seven areas in 16 CFR 314.4(h)</vt:lpwstr>
  </property>
</Properties>
</file>